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C87" w:rsidRDefault="00F25C8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6EFCB747FA042AA81275217DCD5B447"/>
          </w:placeholder>
        </w:sdtPr>
        <w:sdtContent>
          <w:r w:rsidRPr="005C2A78">
            <w:rPr>
              <w:rFonts w:cs="Times New Roman"/>
              <w:b/>
              <w:szCs w:val="24"/>
              <w:u w:val="single"/>
            </w:rPr>
            <w:t>BILL ANALYSIS</w:t>
          </w:r>
        </w:sdtContent>
      </w:sdt>
    </w:p>
    <w:p w:rsidR="00F25C87" w:rsidRPr="00585C31" w:rsidRDefault="00F25C87" w:rsidP="000F1DF9">
      <w:pPr>
        <w:spacing w:after="0" w:line="240" w:lineRule="auto"/>
        <w:rPr>
          <w:rFonts w:cs="Times New Roman"/>
          <w:szCs w:val="24"/>
        </w:rPr>
      </w:pPr>
    </w:p>
    <w:p w:rsidR="00F25C87" w:rsidRPr="00585C31" w:rsidRDefault="00F25C8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25C87" w:rsidTr="000F1DF9">
        <w:tc>
          <w:tcPr>
            <w:tcW w:w="2718" w:type="dxa"/>
          </w:tcPr>
          <w:p w:rsidR="00F25C87" w:rsidRPr="005C2A78" w:rsidRDefault="00F25C87" w:rsidP="006D756B">
            <w:pPr>
              <w:rPr>
                <w:rFonts w:cs="Times New Roman"/>
                <w:szCs w:val="24"/>
              </w:rPr>
            </w:pPr>
            <w:sdt>
              <w:sdtPr>
                <w:rPr>
                  <w:rFonts w:cs="Times New Roman"/>
                  <w:szCs w:val="24"/>
                </w:rPr>
                <w:alias w:val="Agency Title"/>
                <w:tag w:val="AgencyTitleContentControl"/>
                <w:id w:val="1920747753"/>
                <w:lock w:val="sdtContentLocked"/>
                <w:placeholder>
                  <w:docPart w:val="6FB0F02905854DB88FD5C897FECBC0DE"/>
                </w:placeholder>
              </w:sdtPr>
              <w:sdtEndPr>
                <w:rPr>
                  <w:rFonts w:cstheme="minorBidi"/>
                  <w:szCs w:val="22"/>
                </w:rPr>
              </w:sdtEndPr>
              <w:sdtContent>
                <w:r>
                  <w:rPr>
                    <w:rFonts w:cs="Times New Roman"/>
                    <w:szCs w:val="24"/>
                  </w:rPr>
                  <w:t>Senate Research Center</w:t>
                </w:r>
              </w:sdtContent>
            </w:sdt>
          </w:p>
        </w:tc>
        <w:tc>
          <w:tcPr>
            <w:tcW w:w="6858" w:type="dxa"/>
          </w:tcPr>
          <w:p w:rsidR="00F25C87" w:rsidRPr="00FF6471" w:rsidRDefault="00F25C87" w:rsidP="000F1DF9">
            <w:pPr>
              <w:jc w:val="right"/>
              <w:rPr>
                <w:rFonts w:cs="Times New Roman"/>
                <w:szCs w:val="24"/>
              </w:rPr>
            </w:pPr>
            <w:sdt>
              <w:sdtPr>
                <w:rPr>
                  <w:rFonts w:cs="Times New Roman"/>
                  <w:szCs w:val="24"/>
                </w:rPr>
                <w:alias w:val="Bill Number"/>
                <w:tag w:val="BillNumberOne"/>
                <w:id w:val="-410784069"/>
                <w:lock w:val="sdtContentLocked"/>
                <w:placeholder>
                  <w:docPart w:val="18A775F908304B26ACF73DCC6D1756CF"/>
                </w:placeholder>
              </w:sdtPr>
              <w:sdtContent>
                <w:r>
                  <w:rPr>
                    <w:rFonts w:cs="Times New Roman"/>
                    <w:szCs w:val="24"/>
                  </w:rPr>
                  <w:t>S.B. 1293</w:t>
                </w:r>
              </w:sdtContent>
            </w:sdt>
          </w:p>
        </w:tc>
      </w:tr>
      <w:tr w:rsidR="00F25C87" w:rsidTr="000F1DF9">
        <w:sdt>
          <w:sdtPr>
            <w:rPr>
              <w:rFonts w:cs="Times New Roman"/>
              <w:szCs w:val="24"/>
            </w:rPr>
            <w:alias w:val="TLCNumber"/>
            <w:tag w:val="TLCNumber"/>
            <w:id w:val="-542600604"/>
            <w:lock w:val="sdtLocked"/>
            <w:placeholder>
              <w:docPart w:val="EF6B6593A5F6464AA8E961CA6FDA4ABB"/>
            </w:placeholder>
          </w:sdtPr>
          <w:sdtContent>
            <w:tc>
              <w:tcPr>
                <w:tcW w:w="2718" w:type="dxa"/>
              </w:tcPr>
              <w:p w:rsidR="00F25C87" w:rsidRPr="000F1DF9" w:rsidRDefault="00F25C87" w:rsidP="00C65088">
                <w:pPr>
                  <w:rPr>
                    <w:rFonts w:cs="Times New Roman"/>
                    <w:szCs w:val="24"/>
                  </w:rPr>
                </w:pPr>
                <w:r>
                  <w:rPr>
                    <w:rFonts w:cs="Times New Roman"/>
                    <w:szCs w:val="24"/>
                  </w:rPr>
                  <w:t>86R12000 EAS-F</w:t>
                </w:r>
              </w:p>
            </w:tc>
          </w:sdtContent>
        </w:sdt>
        <w:tc>
          <w:tcPr>
            <w:tcW w:w="6858" w:type="dxa"/>
          </w:tcPr>
          <w:p w:rsidR="00F25C87" w:rsidRPr="005C2A78" w:rsidRDefault="00F25C87" w:rsidP="006D756B">
            <w:pPr>
              <w:jc w:val="right"/>
              <w:rPr>
                <w:rFonts w:cs="Times New Roman"/>
                <w:szCs w:val="24"/>
              </w:rPr>
            </w:pPr>
            <w:sdt>
              <w:sdtPr>
                <w:rPr>
                  <w:rFonts w:cs="Times New Roman"/>
                  <w:szCs w:val="24"/>
                </w:rPr>
                <w:alias w:val="Author Label"/>
                <w:tag w:val="By"/>
                <w:id w:val="72399597"/>
                <w:lock w:val="sdtLocked"/>
                <w:placeholder>
                  <w:docPart w:val="8EA736B5F8AF4AC79B056BE7F89816A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5B6AFD06E9940E9AABD6BEFE4C38991"/>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11D23A2A83DD4C9990990B9F2847C30D"/>
                </w:placeholder>
                <w:showingPlcHdr/>
              </w:sdtPr>
              <w:sdtContent/>
            </w:sdt>
          </w:p>
        </w:tc>
      </w:tr>
      <w:tr w:rsidR="00F25C87" w:rsidTr="000F1DF9">
        <w:tc>
          <w:tcPr>
            <w:tcW w:w="2718" w:type="dxa"/>
          </w:tcPr>
          <w:p w:rsidR="00F25C87" w:rsidRPr="00BC7495" w:rsidRDefault="00F25C87" w:rsidP="000F1DF9">
            <w:pPr>
              <w:rPr>
                <w:rFonts w:cs="Times New Roman"/>
                <w:szCs w:val="24"/>
              </w:rPr>
            </w:pPr>
          </w:p>
        </w:tc>
        <w:sdt>
          <w:sdtPr>
            <w:rPr>
              <w:rFonts w:cs="Times New Roman"/>
              <w:szCs w:val="24"/>
            </w:rPr>
            <w:alias w:val="Committee"/>
            <w:tag w:val="Committee"/>
            <w:id w:val="1914272295"/>
            <w:lock w:val="sdtContentLocked"/>
            <w:placeholder>
              <w:docPart w:val="825B56E78A16482A819D7D1A5F5CE6AD"/>
            </w:placeholder>
          </w:sdtPr>
          <w:sdtContent>
            <w:tc>
              <w:tcPr>
                <w:tcW w:w="6858" w:type="dxa"/>
              </w:tcPr>
              <w:p w:rsidR="00F25C87" w:rsidRPr="00FF6471" w:rsidRDefault="00F25C87" w:rsidP="000F1DF9">
                <w:pPr>
                  <w:jc w:val="right"/>
                  <w:rPr>
                    <w:rFonts w:cs="Times New Roman"/>
                    <w:szCs w:val="24"/>
                  </w:rPr>
                </w:pPr>
                <w:r>
                  <w:rPr>
                    <w:rFonts w:cs="Times New Roman"/>
                    <w:szCs w:val="24"/>
                  </w:rPr>
                  <w:t>State Affairs</w:t>
                </w:r>
              </w:p>
            </w:tc>
          </w:sdtContent>
        </w:sdt>
      </w:tr>
      <w:tr w:rsidR="00F25C87" w:rsidTr="000F1DF9">
        <w:tc>
          <w:tcPr>
            <w:tcW w:w="2718" w:type="dxa"/>
          </w:tcPr>
          <w:p w:rsidR="00F25C87" w:rsidRPr="00BC7495" w:rsidRDefault="00F25C87" w:rsidP="000F1DF9">
            <w:pPr>
              <w:rPr>
                <w:rFonts w:cs="Times New Roman"/>
                <w:szCs w:val="24"/>
              </w:rPr>
            </w:pPr>
          </w:p>
        </w:tc>
        <w:sdt>
          <w:sdtPr>
            <w:rPr>
              <w:rFonts w:cs="Times New Roman"/>
              <w:szCs w:val="24"/>
            </w:rPr>
            <w:alias w:val="Date"/>
            <w:tag w:val="DateContentControl"/>
            <w:id w:val="1178081906"/>
            <w:lock w:val="sdtLocked"/>
            <w:placeholder>
              <w:docPart w:val="BD0CACCAEA7147D183082DC4EAA017F7"/>
            </w:placeholder>
            <w:date w:fullDate="2019-04-14T00:00:00Z">
              <w:dateFormat w:val="M/d/yyyy"/>
              <w:lid w:val="en-US"/>
              <w:storeMappedDataAs w:val="dateTime"/>
              <w:calendar w:val="gregorian"/>
            </w:date>
          </w:sdtPr>
          <w:sdtContent>
            <w:tc>
              <w:tcPr>
                <w:tcW w:w="6858" w:type="dxa"/>
              </w:tcPr>
              <w:p w:rsidR="00F25C87" w:rsidRPr="00FF6471" w:rsidRDefault="00F25C87" w:rsidP="000F1DF9">
                <w:pPr>
                  <w:jc w:val="right"/>
                  <w:rPr>
                    <w:rFonts w:cs="Times New Roman"/>
                    <w:szCs w:val="24"/>
                  </w:rPr>
                </w:pPr>
                <w:r>
                  <w:rPr>
                    <w:rFonts w:cs="Times New Roman"/>
                    <w:szCs w:val="24"/>
                  </w:rPr>
                  <w:t>4/14/2019</w:t>
                </w:r>
              </w:p>
            </w:tc>
          </w:sdtContent>
        </w:sdt>
      </w:tr>
      <w:tr w:rsidR="00F25C87" w:rsidTr="000F1DF9">
        <w:tc>
          <w:tcPr>
            <w:tcW w:w="2718" w:type="dxa"/>
          </w:tcPr>
          <w:p w:rsidR="00F25C87" w:rsidRPr="00BC7495" w:rsidRDefault="00F25C87" w:rsidP="000F1DF9">
            <w:pPr>
              <w:rPr>
                <w:rFonts w:cs="Times New Roman"/>
                <w:szCs w:val="24"/>
              </w:rPr>
            </w:pPr>
          </w:p>
        </w:tc>
        <w:sdt>
          <w:sdtPr>
            <w:rPr>
              <w:rFonts w:cs="Times New Roman"/>
              <w:szCs w:val="24"/>
            </w:rPr>
            <w:alias w:val="BA Version"/>
            <w:tag w:val="BAVersion"/>
            <w:id w:val="-1685590809"/>
            <w:lock w:val="sdtContentLocked"/>
            <w:placeholder>
              <w:docPart w:val="454819DD7A0A4D498E1798DE35D425CC"/>
            </w:placeholder>
          </w:sdtPr>
          <w:sdtContent>
            <w:tc>
              <w:tcPr>
                <w:tcW w:w="6858" w:type="dxa"/>
              </w:tcPr>
              <w:p w:rsidR="00F25C87" w:rsidRPr="00FF6471" w:rsidRDefault="00F25C87" w:rsidP="000F1DF9">
                <w:pPr>
                  <w:jc w:val="right"/>
                  <w:rPr>
                    <w:rFonts w:cs="Times New Roman"/>
                    <w:szCs w:val="24"/>
                  </w:rPr>
                </w:pPr>
                <w:r>
                  <w:rPr>
                    <w:rFonts w:cs="Times New Roman"/>
                    <w:szCs w:val="24"/>
                  </w:rPr>
                  <w:t>As Filed</w:t>
                </w:r>
              </w:p>
            </w:tc>
          </w:sdtContent>
        </w:sdt>
      </w:tr>
    </w:tbl>
    <w:p w:rsidR="00F25C87" w:rsidRPr="00FF6471" w:rsidRDefault="00F25C87" w:rsidP="000F1DF9">
      <w:pPr>
        <w:spacing w:after="0" w:line="240" w:lineRule="auto"/>
        <w:rPr>
          <w:rFonts w:cs="Times New Roman"/>
          <w:szCs w:val="24"/>
        </w:rPr>
      </w:pPr>
    </w:p>
    <w:p w:rsidR="00F25C87" w:rsidRPr="00FF6471" w:rsidRDefault="00F25C87" w:rsidP="000F1DF9">
      <w:pPr>
        <w:spacing w:after="0" w:line="240" w:lineRule="auto"/>
        <w:rPr>
          <w:rFonts w:cs="Times New Roman"/>
          <w:szCs w:val="24"/>
        </w:rPr>
      </w:pPr>
    </w:p>
    <w:p w:rsidR="00F25C87" w:rsidRPr="00FF6471" w:rsidRDefault="00F25C8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B45DD5082264152A486EE8A3E66DD67"/>
        </w:placeholder>
      </w:sdtPr>
      <w:sdtContent>
        <w:p w:rsidR="00F25C87" w:rsidRDefault="00F25C8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AA2627C792A417A9979844BBEF30A02"/>
        </w:placeholder>
      </w:sdtPr>
      <w:sdtContent>
        <w:p w:rsidR="00F25C87" w:rsidRDefault="00F25C87" w:rsidP="00757A59">
          <w:pPr>
            <w:pStyle w:val="NormalWeb"/>
            <w:spacing w:before="0" w:beforeAutospacing="0" w:after="0" w:afterAutospacing="0"/>
            <w:jc w:val="both"/>
            <w:divId w:val="1959992964"/>
            <w:rPr>
              <w:rFonts w:eastAsia="Times New Roman"/>
              <w:bCs/>
            </w:rPr>
          </w:pPr>
        </w:p>
        <w:p w:rsidR="00F25C87" w:rsidRDefault="00F25C87" w:rsidP="00757A59">
          <w:pPr>
            <w:pStyle w:val="NormalWeb"/>
            <w:spacing w:before="0" w:beforeAutospacing="0" w:after="0" w:afterAutospacing="0"/>
            <w:jc w:val="both"/>
            <w:divId w:val="1959992964"/>
            <w:rPr>
              <w:color w:val="000000"/>
            </w:rPr>
          </w:pPr>
          <w:r w:rsidRPr="00757A59">
            <w:rPr>
              <w:color w:val="000000"/>
            </w:rPr>
            <w:t xml:space="preserve">Current law requires legal representation for persons in mental health proceedings. When persons are indigent, most counties appoint private attorneys at an hourly rate to represent defendants in cases such as emergency detention, court ordered mental health treatment, and release proceedings. Appointing private attorneys is costly for the county and places a considerable administrative burden on judges and court personnel. Specifically, courts may be responsible for review and selection of qualified attorneys, tracking compliance with continuing legal education requirements, assigning cases fairly across eligible counsel, notifying attorneys of their appointment in time to contact the client within the statutorily prescribed period, resolving scheduling conflicts, and approving all attorney fee vouchers. </w:t>
          </w:r>
        </w:p>
        <w:p w:rsidR="00F25C87" w:rsidRPr="00757A59" w:rsidRDefault="00F25C87" w:rsidP="00757A59">
          <w:pPr>
            <w:pStyle w:val="NormalWeb"/>
            <w:spacing w:before="0" w:beforeAutospacing="0" w:after="0" w:afterAutospacing="0"/>
            <w:jc w:val="both"/>
            <w:divId w:val="1959992964"/>
            <w:rPr>
              <w:color w:val="000000"/>
            </w:rPr>
          </w:pPr>
        </w:p>
        <w:p w:rsidR="00F25C87" w:rsidRPr="00757A59" w:rsidRDefault="00F25C87" w:rsidP="00757A59">
          <w:pPr>
            <w:pStyle w:val="NormalWeb"/>
            <w:spacing w:before="0" w:beforeAutospacing="0" w:after="0" w:afterAutospacing="0"/>
            <w:jc w:val="both"/>
            <w:divId w:val="1959992964"/>
            <w:rPr>
              <w:color w:val="000000"/>
            </w:rPr>
          </w:pPr>
          <w:r w:rsidRPr="00757A59">
            <w:rPr>
              <w:color w:val="000000"/>
            </w:rPr>
            <w:t>S</w:t>
          </w:r>
          <w:r>
            <w:rPr>
              <w:color w:val="000000"/>
            </w:rPr>
            <w:t>.</w:t>
          </w:r>
          <w:r w:rsidRPr="00757A59">
            <w:rPr>
              <w:color w:val="000000"/>
            </w:rPr>
            <w:t>B</w:t>
          </w:r>
          <w:r>
            <w:rPr>
              <w:color w:val="000000"/>
            </w:rPr>
            <w:t>.</w:t>
          </w:r>
          <w:r w:rsidRPr="00757A59">
            <w:rPr>
              <w:color w:val="000000"/>
            </w:rPr>
            <w:t xml:space="preserve"> 1293 would authorize counties to employ salaried public defenders to represent indigent defendants in such cases. This option not only would be more cost-effective for counties, but also would improve representation of these defendants, as specialized public defenders would be more likely to understand the specifics of any given case. </w:t>
          </w:r>
        </w:p>
        <w:p w:rsidR="00F25C87" w:rsidRPr="00D70925" w:rsidRDefault="00F25C87" w:rsidP="00757A59">
          <w:pPr>
            <w:spacing w:after="0" w:line="240" w:lineRule="auto"/>
            <w:jc w:val="both"/>
            <w:rPr>
              <w:rFonts w:eastAsia="Times New Roman" w:cs="Times New Roman"/>
              <w:bCs/>
              <w:szCs w:val="24"/>
            </w:rPr>
          </w:pPr>
        </w:p>
      </w:sdtContent>
    </w:sdt>
    <w:p w:rsidR="00F25C87" w:rsidRDefault="00F25C8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1293 </w:t>
      </w:r>
      <w:bookmarkStart w:id="1" w:name="AmendsCurrentLaw"/>
      <w:bookmarkEnd w:id="1"/>
      <w:r>
        <w:rPr>
          <w:rFonts w:cs="Times New Roman"/>
          <w:szCs w:val="24"/>
        </w:rPr>
        <w:t>amends current law relating to the authority of the commissioners court of a county to employ attorneys as mental health public defenders and to the reimbursement of an attorney who represents an indigent proposed patient in certain mental health proceedings.</w:t>
      </w:r>
    </w:p>
    <w:p w:rsidR="00F25C87" w:rsidRPr="00334823" w:rsidRDefault="00F25C87" w:rsidP="000F1DF9">
      <w:pPr>
        <w:spacing w:after="0" w:line="240" w:lineRule="auto"/>
        <w:jc w:val="both"/>
        <w:rPr>
          <w:rFonts w:eastAsia="Times New Roman" w:cs="Times New Roman"/>
          <w:szCs w:val="24"/>
        </w:rPr>
      </w:pPr>
    </w:p>
    <w:p w:rsidR="00F25C87" w:rsidRPr="005C2A78" w:rsidRDefault="00F25C8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D69C8189C184081BAF96ADF545EF91F"/>
          </w:placeholder>
        </w:sdtPr>
        <w:sdtContent>
          <w:r>
            <w:rPr>
              <w:rFonts w:eastAsia="Times New Roman" w:cs="Times New Roman"/>
              <w:b/>
              <w:szCs w:val="24"/>
              <w:u w:val="single"/>
            </w:rPr>
            <w:t>RULEMAKING AUTHORITY</w:t>
          </w:r>
        </w:sdtContent>
      </w:sdt>
    </w:p>
    <w:p w:rsidR="00F25C87" w:rsidRPr="006529C4" w:rsidRDefault="00F25C87" w:rsidP="00774EC7">
      <w:pPr>
        <w:spacing w:after="0" w:line="240" w:lineRule="auto"/>
        <w:jc w:val="both"/>
        <w:rPr>
          <w:rFonts w:cs="Times New Roman"/>
          <w:szCs w:val="24"/>
        </w:rPr>
      </w:pPr>
    </w:p>
    <w:p w:rsidR="00F25C87" w:rsidRPr="006529C4" w:rsidRDefault="00F25C8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25C87" w:rsidRPr="006529C4" w:rsidRDefault="00F25C87" w:rsidP="00774EC7">
      <w:pPr>
        <w:spacing w:after="0" w:line="240" w:lineRule="auto"/>
        <w:jc w:val="both"/>
        <w:rPr>
          <w:rFonts w:cs="Times New Roman"/>
          <w:szCs w:val="24"/>
        </w:rPr>
      </w:pPr>
    </w:p>
    <w:p w:rsidR="00F25C87" w:rsidRPr="005C2A78" w:rsidRDefault="00F25C87" w:rsidP="00F25C8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25063B17B4B43C7B4FE9631F0FCEEB0"/>
          </w:placeholder>
        </w:sdtPr>
        <w:sdtContent>
          <w:r>
            <w:rPr>
              <w:rFonts w:eastAsia="Times New Roman" w:cs="Times New Roman"/>
              <w:b/>
              <w:szCs w:val="24"/>
              <w:u w:val="single"/>
            </w:rPr>
            <w:t>SECTION BY SECTION ANALYSIS</w:t>
          </w:r>
        </w:sdtContent>
      </w:sdt>
    </w:p>
    <w:p w:rsidR="00F25C87" w:rsidRPr="005C2A78" w:rsidRDefault="00F25C87" w:rsidP="00F25C87">
      <w:pPr>
        <w:spacing w:after="0" w:line="240" w:lineRule="auto"/>
        <w:jc w:val="both"/>
        <w:rPr>
          <w:rFonts w:eastAsia="Times New Roman" w:cs="Times New Roman"/>
          <w:szCs w:val="24"/>
        </w:rPr>
      </w:pPr>
    </w:p>
    <w:p w:rsidR="00F25C87" w:rsidRDefault="00F25C87" w:rsidP="00F25C87">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Chapter 571, Health and Safety Code, by adding Sections 571.0168 and 571.0169, as follows:</w:t>
      </w:r>
    </w:p>
    <w:p w:rsidR="00F25C87" w:rsidRDefault="00F25C87" w:rsidP="00F25C87">
      <w:pPr>
        <w:spacing w:after="0" w:line="240" w:lineRule="auto"/>
        <w:jc w:val="both"/>
      </w:pPr>
    </w:p>
    <w:p w:rsidR="00F25C87" w:rsidRDefault="00F25C87" w:rsidP="00F25C87">
      <w:pPr>
        <w:spacing w:after="0" w:line="240" w:lineRule="auto"/>
        <w:ind w:left="720"/>
        <w:jc w:val="both"/>
      </w:pPr>
      <w:r>
        <w:t xml:space="preserve">Sec. 571.0168. MENTAL HEALTH PUBLIC DEFENDERS. Authorizes the commissioners court of a county to employ attorneys as mental health public defenders to provide proposed patients with legal representation in a proceeding under Chapter 574 (Court-Ordered Mental Health Services). </w:t>
      </w:r>
    </w:p>
    <w:p w:rsidR="00F25C87" w:rsidRDefault="00F25C87" w:rsidP="00F25C87">
      <w:pPr>
        <w:spacing w:after="0" w:line="240" w:lineRule="auto"/>
        <w:ind w:left="720"/>
        <w:jc w:val="both"/>
      </w:pPr>
    </w:p>
    <w:p w:rsidR="00F25C87" w:rsidRPr="005C2A78" w:rsidRDefault="00F25C87" w:rsidP="00F25C87">
      <w:pPr>
        <w:spacing w:after="0" w:line="240" w:lineRule="auto"/>
        <w:ind w:left="720"/>
        <w:jc w:val="both"/>
        <w:rPr>
          <w:rFonts w:eastAsia="Times New Roman" w:cs="Times New Roman"/>
          <w:szCs w:val="24"/>
        </w:rPr>
      </w:pPr>
      <w:r>
        <w:t>Sec. 571.0169. REPRESENTATION OF PROPOSED PATIENT. Authorizes the court to appoint a mental health public defender described by Section 571.0168, a public defender other than a mental health public defender, or a private attorney to represent a proposed patient in any proceeding under Chapter 574.</w:t>
      </w:r>
    </w:p>
    <w:p w:rsidR="00F25C87" w:rsidRPr="005C2A78" w:rsidRDefault="00F25C87" w:rsidP="00F25C87">
      <w:pPr>
        <w:spacing w:after="0" w:line="240" w:lineRule="auto"/>
        <w:jc w:val="both"/>
        <w:rPr>
          <w:rFonts w:eastAsia="Times New Roman" w:cs="Times New Roman"/>
          <w:szCs w:val="24"/>
        </w:rPr>
      </w:pPr>
    </w:p>
    <w:p w:rsidR="00F25C87" w:rsidRDefault="00F25C87" w:rsidP="00F25C87">
      <w:pPr>
        <w:spacing w:after="0" w:line="240" w:lineRule="auto"/>
        <w:jc w:val="both"/>
      </w:pPr>
      <w:r w:rsidRPr="005C2A78">
        <w:rPr>
          <w:rFonts w:eastAsia="Times New Roman" w:cs="Times New Roman"/>
          <w:szCs w:val="24"/>
        </w:rPr>
        <w:t>SECTION 2.</w:t>
      </w:r>
      <w:r>
        <w:rPr>
          <w:rFonts w:eastAsia="Times New Roman" w:cs="Times New Roman"/>
          <w:szCs w:val="24"/>
        </w:rPr>
        <w:t xml:space="preserve"> Amends </w:t>
      </w:r>
      <w:r>
        <w:t>Section 574.010(b), Health and Safety Code, as follows:</w:t>
      </w:r>
    </w:p>
    <w:p w:rsidR="00F25C87" w:rsidRDefault="00F25C87" w:rsidP="00F25C87">
      <w:pPr>
        <w:spacing w:after="0" w:line="240" w:lineRule="auto"/>
        <w:jc w:val="both"/>
      </w:pPr>
    </w:p>
    <w:p w:rsidR="00F25C87" w:rsidRPr="005C2A78" w:rsidRDefault="00F25C87" w:rsidP="00F25C87">
      <w:pPr>
        <w:spacing w:after="0" w:line="240" w:lineRule="auto"/>
        <w:ind w:left="720"/>
        <w:jc w:val="both"/>
        <w:rPr>
          <w:rFonts w:eastAsia="Times New Roman" w:cs="Times New Roman"/>
          <w:szCs w:val="24"/>
        </w:rPr>
      </w:pPr>
      <w:r>
        <w:t>(b) Authorizes a court, if the court determines that the proposed patient is indigent, to authorize reimbursement to the attorney representing the proposed patient, rather than the attorney ad litem, for court-approved expenses incurred in obtaining expert testimony and to order the proposed patient’s county of residence to pay the expenses.</w:t>
      </w:r>
    </w:p>
    <w:p w:rsidR="00F25C87" w:rsidRPr="005C2A78" w:rsidRDefault="00F25C87" w:rsidP="00F25C87">
      <w:pPr>
        <w:spacing w:after="0" w:line="240" w:lineRule="auto"/>
        <w:jc w:val="both"/>
        <w:rPr>
          <w:rFonts w:eastAsia="Times New Roman" w:cs="Times New Roman"/>
          <w:szCs w:val="24"/>
        </w:rPr>
      </w:pPr>
    </w:p>
    <w:p w:rsidR="00F25C87" w:rsidRPr="00C8671F" w:rsidRDefault="00F25C87" w:rsidP="00F25C87">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2019.</w:t>
      </w:r>
    </w:p>
    <w:sectPr w:rsidR="00F25C87"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220" w:rsidRDefault="00756220" w:rsidP="000F1DF9">
      <w:pPr>
        <w:spacing w:after="0" w:line="240" w:lineRule="auto"/>
      </w:pPr>
      <w:r>
        <w:separator/>
      </w:r>
    </w:p>
  </w:endnote>
  <w:endnote w:type="continuationSeparator" w:id="0">
    <w:p w:rsidR="00756220" w:rsidRDefault="0075622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5622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25C87">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25C87">
                <w:rPr>
                  <w:sz w:val="20"/>
                  <w:szCs w:val="20"/>
                </w:rPr>
                <w:t>S.B. 1293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25C87">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5622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25C8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25C87">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220" w:rsidRDefault="00756220" w:rsidP="000F1DF9">
      <w:pPr>
        <w:spacing w:after="0" w:line="240" w:lineRule="auto"/>
      </w:pPr>
      <w:r>
        <w:separator/>
      </w:r>
    </w:p>
  </w:footnote>
  <w:footnote w:type="continuationSeparator" w:id="0">
    <w:p w:rsidR="00756220" w:rsidRDefault="0075622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56220"/>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25C87"/>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D75E464-35E5-4AA6-BAFA-947307335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25C8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992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E7D01" w:rsidP="00EE7D01">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6EFCB747FA042AA81275217DCD5B447"/>
        <w:category>
          <w:name w:val="General"/>
          <w:gallery w:val="placeholder"/>
        </w:category>
        <w:types>
          <w:type w:val="bbPlcHdr"/>
        </w:types>
        <w:behaviors>
          <w:behavior w:val="content"/>
        </w:behaviors>
        <w:guid w:val="{10AC3430-ADAF-4ECD-8CF3-D5273CEB9B85}"/>
      </w:docPartPr>
      <w:docPartBody>
        <w:p w:rsidR="00000000" w:rsidRDefault="00DE5B3B"/>
      </w:docPartBody>
    </w:docPart>
    <w:docPart>
      <w:docPartPr>
        <w:name w:val="6FB0F02905854DB88FD5C897FECBC0DE"/>
        <w:category>
          <w:name w:val="General"/>
          <w:gallery w:val="placeholder"/>
        </w:category>
        <w:types>
          <w:type w:val="bbPlcHdr"/>
        </w:types>
        <w:behaviors>
          <w:behavior w:val="content"/>
        </w:behaviors>
        <w:guid w:val="{495C03B0-E071-4AFE-AE78-9988B2570267}"/>
      </w:docPartPr>
      <w:docPartBody>
        <w:p w:rsidR="00000000" w:rsidRDefault="00DE5B3B"/>
      </w:docPartBody>
    </w:docPart>
    <w:docPart>
      <w:docPartPr>
        <w:name w:val="18A775F908304B26ACF73DCC6D1756CF"/>
        <w:category>
          <w:name w:val="General"/>
          <w:gallery w:val="placeholder"/>
        </w:category>
        <w:types>
          <w:type w:val="bbPlcHdr"/>
        </w:types>
        <w:behaviors>
          <w:behavior w:val="content"/>
        </w:behaviors>
        <w:guid w:val="{C9A1FE26-CC6B-4A67-9905-8AB43819B00E}"/>
      </w:docPartPr>
      <w:docPartBody>
        <w:p w:rsidR="00000000" w:rsidRDefault="00DE5B3B"/>
      </w:docPartBody>
    </w:docPart>
    <w:docPart>
      <w:docPartPr>
        <w:name w:val="EF6B6593A5F6464AA8E961CA6FDA4ABB"/>
        <w:category>
          <w:name w:val="General"/>
          <w:gallery w:val="placeholder"/>
        </w:category>
        <w:types>
          <w:type w:val="bbPlcHdr"/>
        </w:types>
        <w:behaviors>
          <w:behavior w:val="content"/>
        </w:behaviors>
        <w:guid w:val="{223BA1C9-3EFD-4A5D-9E7C-D95E3D400A1A}"/>
      </w:docPartPr>
      <w:docPartBody>
        <w:p w:rsidR="00000000" w:rsidRDefault="00DE5B3B"/>
      </w:docPartBody>
    </w:docPart>
    <w:docPart>
      <w:docPartPr>
        <w:name w:val="8EA736B5F8AF4AC79B056BE7F89816A3"/>
        <w:category>
          <w:name w:val="General"/>
          <w:gallery w:val="placeholder"/>
        </w:category>
        <w:types>
          <w:type w:val="bbPlcHdr"/>
        </w:types>
        <w:behaviors>
          <w:behavior w:val="content"/>
        </w:behaviors>
        <w:guid w:val="{6147DD9F-BA33-40DF-9E19-DC57FE871960}"/>
      </w:docPartPr>
      <w:docPartBody>
        <w:p w:rsidR="00000000" w:rsidRDefault="00DE5B3B"/>
      </w:docPartBody>
    </w:docPart>
    <w:docPart>
      <w:docPartPr>
        <w:name w:val="F5B6AFD06E9940E9AABD6BEFE4C38991"/>
        <w:category>
          <w:name w:val="General"/>
          <w:gallery w:val="placeholder"/>
        </w:category>
        <w:types>
          <w:type w:val="bbPlcHdr"/>
        </w:types>
        <w:behaviors>
          <w:behavior w:val="content"/>
        </w:behaviors>
        <w:guid w:val="{C8AA201E-F695-4D61-8EB1-18C88608CA4F}"/>
      </w:docPartPr>
      <w:docPartBody>
        <w:p w:rsidR="00000000" w:rsidRDefault="00DE5B3B"/>
      </w:docPartBody>
    </w:docPart>
    <w:docPart>
      <w:docPartPr>
        <w:name w:val="11D23A2A83DD4C9990990B9F2847C30D"/>
        <w:category>
          <w:name w:val="General"/>
          <w:gallery w:val="placeholder"/>
        </w:category>
        <w:types>
          <w:type w:val="bbPlcHdr"/>
        </w:types>
        <w:behaviors>
          <w:behavior w:val="content"/>
        </w:behaviors>
        <w:guid w:val="{6C84862E-BF86-4BAA-87B6-200810A417EC}"/>
      </w:docPartPr>
      <w:docPartBody>
        <w:p w:rsidR="00000000" w:rsidRDefault="00DE5B3B"/>
      </w:docPartBody>
    </w:docPart>
    <w:docPart>
      <w:docPartPr>
        <w:name w:val="825B56E78A16482A819D7D1A5F5CE6AD"/>
        <w:category>
          <w:name w:val="General"/>
          <w:gallery w:val="placeholder"/>
        </w:category>
        <w:types>
          <w:type w:val="bbPlcHdr"/>
        </w:types>
        <w:behaviors>
          <w:behavior w:val="content"/>
        </w:behaviors>
        <w:guid w:val="{FB347BF4-E594-44FA-ACB8-027DC49B88B0}"/>
      </w:docPartPr>
      <w:docPartBody>
        <w:p w:rsidR="00000000" w:rsidRDefault="00DE5B3B"/>
      </w:docPartBody>
    </w:docPart>
    <w:docPart>
      <w:docPartPr>
        <w:name w:val="BD0CACCAEA7147D183082DC4EAA017F7"/>
        <w:category>
          <w:name w:val="General"/>
          <w:gallery w:val="placeholder"/>
        </w:category>
        <w:types>
          <w:type w:val="bbPlcHdr"/>
        </w:types>
        <w:behaviors>
          <w:behavior w:val="content"/>
        </w:behaviors>
        <w:guid w:val="{8EB7411C-0F9C-465F-B7EC-1614449E7049}"/>
      </w:docPartPr>
      <w:docPartBody>
        <w:p w:rsidR="00000000" w:rsidRDefault="00EE7D01" w:rsidP="00EE7D01">
          <w:pPr>
            <w:pStyle w:val="BD0CACCAEA7147D183082DC4EAA017F7"/>
          </w:pPr>
          <w:r w:rsidRPr="00A30DD1">
            <w:rPr>
              <w:rStyle w:val="PlaceholderText"/>
            </w:rPr>
            <w:t>Click here to enter a date.</w:t>
          </w:r>
        </w:p>
      </w:docPartBody>
    </w:docPart>
    <w:docPart>
      <w:docPartPr>
        <w:name w:val="454819DD7A0A4D498E1798DE35D425CC"/>
        <w:category>
          <w:name w:val="General"/>
          <w:gallery w:val="placeholder"/>
        </w:category>
        <w:types>
          <w:type w:val="bbPlcHdr"/>
        </w:types>
        <w:behaviors>
          <w:behavior w:val="content"/>
        </w:behaviors>
        <w:guid w:val="{A5E249E6-6C43-461C-AD9F-922ED1A23A28}"/>
      </w:docPartPr>
      <w:docPartBody>
        <w:p w:rsidR="00000000" w:rsidRDefault="00DE5B3B"/>
      </w:docPartBody>
    </w:docPart>
    <w:docPart>
      <w:docPartPr>
        <w:name w:val="4B45DD5082264152A486EE8A3E66DD67"/>
        <w:category>
          <w:name w:val="General"/>
          <w:gallery w:val="placeholder"/>
        </w:category>
        <w:types>
          <w:type w:val="bbPlcHdr"/>
        </w:types>
        <w:behaviors>
          <w:behavior w:val="content"/>
        </w:behaviors>
        <w:guid w:val="{C60CDAF6-CB8D-4FC4-AFD5-1017C3246958}"/>
      </w:docPartPr>
      <w:docPartBody>
        <w:p w:rsidR="00000000" w:rsidRDefault="00DE5B3B"/>
      </w:docPartBody>
    </w:docPart>
    <w:docPart>
      <w:docPartPr>
        <w:name w:val="1AA2627C792A417A9979844BBEF30A02"/>
        <w:category>
          <w:name w:val="General"/>
          <w:gallery w:val="placeholder"/>
        </w:category>
        <w:types>
          <w:type w:val="bbPlcHdr"/>
        </w:types>
        <w:behaviors>
          <w:behavior w:val="content"/>
        </w:behaviors>
        <w:guid w:val="{EDA3CE95-F932-4488-B36A-7109D2E46A5D}"/>
      </w:docPartPr>
      <w:docPartBody>
        <w:p w:rsidR="00000000" w:rsidRDefault="00EE7D01" w:rsidP="00EE7D01">
          <w:pPr>
            <w:pStyle w:val="1AA2627C792A417A9979844BBEF30A02"/>
          </w:pPr>
          <w:r>
            <w:rPr>
              <w:rFonts w:eastAsia="Times New Roman" w:cs="Times New Roman"/>
              <w:bCs/>
              <w:szCs w:val="24"/>
            </w:rPr>
            <w:t xml:space="preserve"> </w:t>
          </w:r>
        </w:p>
      </w:docPartBody>
    </w:docPart>
    <w:docPart>
      <w:docPartPr>
        <w:name w:val="AD69C8189C184081BAF96ADF545EF91F"/>
        <w:category>
          <w:name w:val="General"/>
          <w:gallery w:val="placeholder"/>
        </w:category>
        <w:types>
          <w:type w:val="bbPlcHdr"/>
        </w:types>
        <w:behaviors>
          <w:behavior w:val="content"/>
        </w:behaviors>
        <w:guid w:val="{3C7EC54E-8BCA-497D-8DC1-F06F3C3C3AF8}"/>
      </w:docPartPr>
      <w:docPartBody>
        <w:p w:rsidR="00000000" w:rsidRDefault="00DE5B3B"/>
      </w:docPartBody>
    </w:docPart>
    <w:docPart>
      <w:docPartPr>
        <w:name w:val="625063B17B4B43C7B4FE9631F0FCEEB0"/>
        <w:category>
          <w:name w:val="General"/>
          <w:gallery w:val="placeholder"/>
        </w:category>
        <w:types>
          <w:type w:val="bbPlcHdr"/>
        </w:types>
        <w:behaviors>
          <w:behavior w:val="content"/>
        </w:behaviors>
        <w:guid w:val="{1B8B4289-08BA-4037-9595-9173E86E20AE}"/>
      </w:docPartPr>
      <w:docPartBody>
        <w:p w:rsidR="00000000" w:rsidRDefault="00DE5B3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E5B3B"/>
    <w:rsid w:val="00E11D0C"/>
    <w:rsid w:val="00E35A8C"/>
    <w:rsid w:val="00E65C8A"/>
    <w:rsid w:val="00EE7D01"/>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7D0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EE7D01"/>
    <w:rPr>
      <w:rFonts w:ascii="Times New Roman" w:hAnsi="Times New Roman"/>
      <w:sz w:val="24"/>
    </w:rPr>
  </w:style>
  <w:style w:type="paragraph" w:customStyle="1" w:styleId="487D89B4F8B34DB4967D41FE18F7F88D9">
    <w:name w:val="487D89B4F8B34DB4967D41FE18F7F88D9"/>
    <w:rsid w:val="00EE7D01"/>
    <w:rPr>
      <w:rFonts w:ascii="Times New Roman" w:hAnsi="Times New Roman"/>
      <w:sz w:val="24"/>
    </w:rPr>
  </w:style>
  <w:style w:type="paragraph" w:customStyle="1" w:styleId="AE2570ED5D764CD7AF9686706F550F4622">
    <w:name w:val="AE2570ED5D764CD7AF9686706F550F4622"/>
    <w:rsid w:val="00EE7D01"/>
    <w:pPr>
      <w:tabs>
        <w:tab w:val="center" w:pos="4680"/>
        <w:tab w:val="right" w:pos="9360"/>
      </w:tabs>
      <w:spacing w:after="0" w:line="240" w:lineRule="auto"/>
    </w:pPr>
    <w:rPr>
      <w:rFonts w:ascii="Times New Roman" w:hAnsi="Times New Roman"/>
      <w:sz w:val="24"/>
    </w:rPr>
  </w:style>
  <w:style w:type="paragraph" w:customStyle="1" w:styleId="BD0CACCAEA7147D183082DC4EAA017F7">
    <w:name w:val="BD0CACCAEA7147D183082DC4EAA017F7"/>
    <w:rsid w:val="00EE7D01"/>
    <w:pPr>
      <w:spacing w:after="160" w:line="259" w:lineRule="auto"/>
    </w:pPr>
  </w:style>
  <w:style w:type="paragraph" w:customStyle="1" w:styleId="1AA2627C792A417A9979844BBEF30A02">
    <w:name w:val="1AA2627C792A417A9979844BBEF30A02"/>
    <w:rsid w:val="00EE7D0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823BC56-2581-44A5-A6A7-A39094191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441</Words>
  <Characters>2520</Characters>
  <Application>Microsoft Office Word</Application>
  <DocSecurity>0</DocSecurity>
  <Lines>21</Lines>
  <Paragraphs>5</Paragraphs>
  <ScaleCrop>false</ScaleCrop>
  <Company>Texas Legislative Council</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Kelsey Swindle</cp:lastModifiedBy>
  <cp:revision>155</cp:revision>
  <cp:lastPrinted>2019-04-14T17:46:00Z</cp:lastPrinted>
  <dcterms:created xsi:type="dcterms:W3CDTF">2015-05-29T14:24:00Z</dcterms:created>
  <dcterms:modified xsi:type="dcterms:W3CDTF">2019-04-14T17:46:00Z</dcterms:modified>
</cp:coreProperties>
</file>

<file path=docProps/custom.xml><?xml version="1.0" encoding="utf-8"?>
<op:Properties xmlns:vt="http://schemas.openxmlformats.org/officeDocument/2006/docPropsVTypes" xmlns:op="http://schemas.openxmlformats.org/officeDocument/2006/custom-properties"/>
</file>