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37F9D" w:rsidTr="00345119">
        <w:tc>
          <w:tcPr>
            <w:tcW w:w="9576" w:type="dxa"/>
            <w:noWrap/>
          </w:tcPr>
          <w:p w:rsidR="008423E4" w:rsidRPr="0022177D" w:rsidRDefault="00347EF8" w:rsidP="00345119">
            <w:pPr>
              <w:pStyle w:val="Heading1"/>
            </w:pPr>
            <w:bookmarkStart w:id="0" w:name="_GoBack"/>
            <w:bookmarkEnd w:id="0"/>
            <w:r w:rsidRPr="00631897">
              <w:t>BILL ANALYSIS</w:t>
            </w:r>
          </w:p>
        </w:tc>
      </w:tr>
    </w:tbl>
    <w:p w:rsidR="008423E4" w:rsidRPr="0022177D" w:rsidRDefault="00347EF8" w:rsidP="008423E4">
      <w:pPr>
        <w:jc w:val="center"/>
      </w:pPr>
    </w:p>
    <w:p w:rsidR="008423E4" w:rsidRPr="00B31F0E" w:rsidRDefault="00347EF8" w:rsidP="008423E4"/>
    <w:p w:rsidR="008423E4" w:rsidRPr="00742794" w:rsidRDefault="00347EF8" w:rsidP="008423E4">
      <w:pPr>
        <w:tabs>
          <w:tab w:val="right" w:pos="9360"/>
        </w:tabs>
      </w:pPr>
    </w:p>
    <w:tbl>
      <w:tblPr>
        <w:tblW w:w="0" w:type="auto"/>
        <w:tblLayout w:type="fixed"/>
        <w:tblLook w:val="01E0" w:firstRow="1" w:lastRow="1" w:firstColumn="1" w:lastColumn="1" w:noHBand="0" w:noVBand="0"/>
      </w:tblPr>
      <w:tblGrid>
        <w:gridCol w:w="9576"/>
      </w:tblGrid>
      <w:tr w:rsidR="00237F9D" w:rsidTr="00345119">
        <w:tc>
          <w:tcPr>
            <w:tcW w:w="9576" w:type="dxa"/>
          </w:tcPr>
          <w:p w:rsidR="008423E4" w:rsidRPr="00861995" w:rsidRDefault="00347EF8" w:rsidP="00345119">
            <w:pPr>
              <w:jc w:val="right"/>
            </w:pPr>
            <w:r>
              <w:t>S.B. 1294</w:t>
            </w:r>
          </w:p>
        </w:tc>
      </w:tr>
      <w:tr w:rsidR="00237F9D" w:rsidTr="00345119">
        <w:tc>
          <w:tcPr>
            <w:tcW w:w="9576" w:type="dxa"/>
          </w:tcPr>
          <w:p w:rsidR="008423E4" w:rsidRPr="00861995" w:rsidRDefault="00347EF8" w:rsidP="00345119">
            <w:pPr>
              <w:jc w:val="right"/>
            </w:pPr>
            <w:r>
              <w:t xml:space="preserve">By: </w:t>
            </w:r>
            <w:r>
              <w:t>Powell</w:t>
            </w:r>
          </w:p>
        </w:tc>
      </w:tr>
      <w:tr w:rsidR="00237F9D" w:rsidTr="00345119">
        <w:tc>
          <w:tcPr>
            <w:tcW w:w="9576" w:type="dxa"/>
          </w:tcPr>
          <w:p w:rsidR="008423E4" w:rsidRPr="00861995" w:rsidRDefault="00347EF8" w:rsidP="00345119">
            <w:pPr>
              <w:jc w:val="right"/>
            </w:pPr>
            <w:r>
              <w:t>Ways &amp; Means</w:t>
            </w:r>
          </w:p>
        </w:tc>
      </w:tr>
      <w:tr w:rsidR="00237F9D" w:rsidTr="00345119">
        <w:tc>
          <w:tcPr>
            <w:tcW w:w="9576" w:type="dxa"/>
          </w:tcPr>
          <w:p w:rsidR="008423E4" w:rsidRDefault="00347EF8" w:rsidP="00345119">
            <w:pPr>
              <w:jc w:val="right"/>
            </w:pPr>
            <w:r>
              <w:t>Committee Report (Unamended)</w:t>
            </w:r>
          </w:p>
        </w:tc>
      </w:tr>
    </w:tbl>
    <w:p w:rsidR="008423E4" w:rsidRDefault="00347EF8" w:rsidP="008423E4">
      <w:pPr>
        <w:tabs>
          <w:tab w:val="right" w:pos="9360"/>
        </w:tabs>
      </w:pPr>
    </w:p>
    <w:p w:rsidR="008423E4" w:rsidRDefault="00347EF8" w:rsidP="008423E4"/>
    <w:p w:rsidR="008423E4" w:rsidRDefault="00347EF8" w:rsidP="008423E4"/>
    <w:tbl>
      <w:tblPr>
        <w:tblW w:w="0" w:type="auto"/>
        <w:tblCellMar>
          <w:left w:w="115" w:type="dxa"/>
          <w:right w:w="115" w:type="dxa"/>
        </w:tblCellMar>
        <w:tblLook w:val="01E0" w:firstRow="1" w:lastRow="1" w:firstColumn="1" w:lastColumn="1" w:noHBand="0" w:noVBand="0"/>
      </w:tblPr>
      <w:tblGrid>
        <w:gridCol w:w="9576"/>
      </w:tblGrid>
      <w:tr w:rsidR="00237F9D" w:rsidTr="00345119">
        <w:tc>
          <w:tcPr>
            <w:tcW w:w="9576" w:type="dxa"/>
          </w:tcPr>
          <w:p w:rsidR="008423E4" w:rsidRPr="00A8133F" w:rsidRDefault="00347EF8" w:rsidP="00872AE4">
            <w:pPr>
              <w:rPr>
                <w:b/>
              </w:rPr>
            </w:pPr>
            <w:r w:rsidRPr="009C1E9A">
              <w:rPr>
                <w:b/>
                <w:u w:val="single"/>
              </w:rPr>
              <w:t>BACKGROUND AND PURPOSE</w:t>
            </w:r>
            <w:r>
              <w:rPr>
                <w:b/>
              </w:rPr>
              <w:t xml:space="preserve"> </w:t>
            </w:r>
          </w:p>
          <w:p w:rsidR="008423E4" w:rsidRDefault="00347EF8" w:rsidP="00872AE4"/>
          <w:p w:rsidR="008423E4" w:rsidRDefault="00347EF8" w:rsidP="00872AE4">
            <w:pPr>
              <w:pStyle w:val="Header"/>
              <w:jc w:val="both"/>
            </w:pPr>
            <w:r>
              <w:t xml:space="preserve">Given projections of future population growth and the </w:t>
            </w:r>
            <w:r>
              <w:t>strain that growth will place on the state's water supply, there have been calls for the</w:t>
            </w:r>
            <w:r>
              <w:t xml:space="preserve"> state to do more to incentivize rainwater harvesting. S.B.</w:t>
            </w:r>
            <w:r>
              <w:t> </w:t>
            </w:r>
            <w:r>
              <w:t>1294 seeks to answer those calls and make it easier for Texans to have rainwater harvesting systems installed by exempting services used solely for rainwater harvesting from the sales and use tax.</w:t>
            </w:r>
          </w:p>
          <w:p w:rsidR="008423E4" w:rsidRPr="00E26B13" w:rsidRDefault="00347EF8" w:rsidP="00872AE4">
            <w:pPr>
              <w:rPr>
                <w:b/>
              </w:rPr>
            </w:pPr>
          </w:p>
        </w:tc>
      </w:tr>
      <w:tr w:rsidR="00237F9D" w:rsidTr="00345119">
        <w:tc>
          <w:tcPr>
            <w:tcW w:w="9576" w:type="dxa"/>
          </w:tcPr>
          <w:p w:rsidR="0017725B" w:rsidRDefault="00347EF8" w:rsidP="00872AE4">
            <w:pPr>
              <w:rPr>
                <w:b/>
                <w:u w:val="single"/>
              </w:rPr>
            </w:pPr>
            <w:r>
              <w:rPr>
                <w:b/>
                <w:u w:val="single"/>
              </w:rPr>
              <w:t>CRIMINAL JUSTICE IMPACT</w:t>
            </w:r>
          </w:p>
          <w:p w:rsidR="0017725B" w:rsidRDefault="00347EF8" w:rsidP="00872AE4">
            <w:pPr>
              <w:rPr>
                <w:b/>
                <w:u w:val="single"/>
              </w:rPr>
            </w:pPr>
          </w:p>
          <w:p w:rsidR="00CA7AC3" w:rsidRPr="00CA7AC3" w:rsidRDefault="00347EF8" w:rsidP="00872AE4">
            <w:pPr>
              <w:jc w:val="both"/>
            </w:pPr>
            <w:r>
              <w:t>It is the committee's opinion that this bill does not expressly create a criminal offense, increase the punishment for an existing criminal offense or category of offenses, or change the eligibility of a person for community sup</w:t>
            </w:r>
            <w:r>
              <w:t>ervision, parole, or mandatory supervision.</w:t>
            </w:r>
          </w:p>
          <w:p w:rsidR="0017725B" w:rsidRPr="0017725B" w:rsidRDefault="00347EF8" w:rsidP="00872AE4">
            <w:pPr>
              <w:rPr>
                <w:b/>
                <w:u w:val="single"/>
              </w:rPr>
            </w:pPr>
          </w:p>
        </w:tc>
      </w:tr>
      <w:tr w:rsidR="00237F9D" w:rsidTr="00345119">
        <w:tc>
          <w:tcPr>
            <w:tcW w:w="9576" w:type="dxa"/>
          </w:tcPr>
          <w:p w:rsidR="008423E4" w:rsidRPr="00A8133F" w:rsidRDefault="00347EF8" w:rsidP="00872AE4">
            <w:pPr>
              <w:rPr>
                <w:b/>
              </w:rPr>
            </w:pPr>
            <w:r w:rsidRPr="009C1E9A">
              <w:rPr>
                <w:b/>
                <w:u w:val="single"/>
              </w:rPr>
              <w:t>RULEMAKING AUTHORITY</w:t>
            </w:r>
            <w:r>
              <w:rPr>
                <w:b/>
              </w:rPr>
              <w:t xml:space="preserve"> </w:t>
            </w:r>
          </w:p>
          <w:p w:rsidR="008423E4" w:rsidRDefault="00347EF8" w:rsidP="00872AE4"/>
          <w:p w:rsidR="00CA7AC3" w:rsidRDefault="00347EF8" w:rsidP="00872AE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47EF8" w:rsidP="00872AE4">
            <w:pPr>
              <w:rPr>
                <w:b/>
              </w:rPr>
            </w:pPr>
          </w:p>
        </w:tc>
      </w:tr>
      <w:tr w:rsidR="00237F9D" w:rsidTr="00345119">
        <w:tc>
          <w:tcPr>
            <w:tcW w:w="9576" w:type="dxa"/>
          </w:tcPr>
          <w:p w:rsidR="008423E4" w:rsidRPr="00A8133F" w:rsidRDefault="00347EF8" w:rsidP="00872AE4">
            <w:pPr>
              <w:rPr>
                <w:b/>
              </w:rPr>
            </w:pPr>
            <w:r w:rsidRPr="009C1E9A">
              <w:rPr>
                <w:b/>
                <w:u w:val="single"/>
              </w:rPr>
              <w:t>ANALYSIS</w:t>
            </w:r>
            <w:r>
              <w:rPr>
                <w:b/>
              </w:rPr>
              <w:t xml:space="preserve"> </w:t>
            </w:r>
          </w:p>
          <w:p w:rsidR="008423E4" w:rsidRDefault="00347EF8" w:rsidP="00872AE4"/>
          <w:p w:rsidR="008423E4" w:rsidRDefault="00347EF8" w:rsidP="00872AE4">
            <w:pPr>
              <w:pStyle w:val="Header"/>
              <w:tabs>
                <w:tab w:val="clear" w:pos="4320"/>
                <w:tab w:val="clear" w:pos="8640"/>
              </w:tabs>
              <w:jc w:val="both"/>
            </w:pPr>
            <w:r>
              <w:t xml:space="preserve">S.B. 1294 amends the Tax Code to </w:t>
            </w:r>
            <w:r>
              <w:t>clarify that the water recycling and reuse equipment or supplies</w:t>
            </w:r>
            <w:r>
              <w:t xml:space="preserve"> exempt</w:t>
            </w:r>
            <w:r>
              <w:t>ed</w:t>
            </w:r>
            <w:r>
              <w:t xml:space="preserve"> from the sales and use tax </w:t>
            </w:r>
            <w:r>
              <w:t xml:space="preserve">are equipment or supplies used solely </w:t>
            </w:r>
            <w:r>
              <w:t>for</w:t>
            </w:r>
            <w:r>
              <w:t xml:space="preserve"> rainwater harvesting </w:t>
            </w:r>
            <w:r>
              <w:t>and to extend that exemption also to</w:t>
            </w:r>
            <w:r>
              <w:t xml:space="preserve"> services used solely for rainwater </w:t>
            </w:r>
            <w:r>
              <w:t>harvesting</w:t>
            </w:r>
            <w:r>
              <w:t>.</w:t>
            </w:r>
            <w:r>
              <w:t xml:space="preserve"> </w:t>
            </w:r>
            <w:r>
              <w:t xml:space="preserve">           </w:t>
            </w:r>
          </w:p>
          <w:p w:rsidR="008423E4" w:rsidRPr="00835628" w:rsidRDefault="00347EF8" w:rsidP="00872AE4">
            <w:pPr>
              <w:rPr>
                <w:b/>
              </w:rPr>
            </w:pPr>
          </w:p>
        </w:tc>
      </w:tr>
      <w:tr w:rsidR="00237F9D" w:rsidTr="00345119">
        <w:tc>
          <w:tcPr>
            <w:tcW w:w="9576" w:type="dxa"/>
          </w:tcPr>
          <w:p w:rsidR="008423E4" w:rsidRPr="00A8133F" w:rsidRDefault="00347EF8" w:rsidP="00872AE4">
            <w:pPr>
              <w:rPr>
                <w:b/>
              </w:rPr>
            </w:pPr>
            <w:r w:rsidRPr="009C1E9A">
              <w:rPr>
                <w:b/>
                <w:u w:val="single"/>
              </w:rPr>
              <w:t>EFFECTIVE DATE</w:t>
            </w:r>
            <w:r>
              <w:rPr>
                <w:b/>
              </w:rPr>
              <w:t xml:space="preserve"> </w:t>
            </w:r>
          </w:p>
          <w:p w:rsidR="008423E4" w:rsidRDefault="00347EF8" w:rsidP="00872AE4"/>
          <w:p w:rsidR="008423E4" w:rsidRPr="003624F2" w:rsidRDefault="00347EF8" w:rsidP="00872AE4">
            <w:pPr>
              <w:pStyle w:val="Header"/>
              <w:tabs>
                <w:tab w:val="clear" w:pos="4320"/>
                <w:tab w:val="clear" w:pos="8640"/>
              </w:tabs>
              <w:jc w:val="both"/>
            </w:pPr>
            <w:r>
              <w:t>On</w:t>
            </w:r>
            <w:r>
              <w:t xml:space="preserve"> </w:t>
            </w:r>
            <w:r w:rsidRPr="00506070">
              <w:t xml:space="preserve">the first day of the first month beginning on or after the earliest date on which this </w:t>
            </w:r>
            <w:r>
              <w:t>bill</w:t>
            </w:r>
            <w:r w:rsidRPr="00506070">
              <w:t xml:space="preserve"> may take effect if it receives a vote of two-thirds of all the members elected to </w:t>
            </w:r>
            <w:r w:rsidRPr="00506070">
              <w:t>each house, as provided by Section 39, Article III, Texas Constitution</w:t>
            </w:r>
            <w:r>
              <w:t>, or, if the bill does not receive the necessary vote</w:t>
            </w:r>
            <w:r>
              <w:t xml:space="preserve"> </w:t>
            </w:r>
            <w:r w:rsidRPr="00506070">
              <w:t>for effect before September 1, 2019</w:t>
            </w:r>
            <w:r>
              <w:t xml:space="preserve">, </w:t>
            </w:r>
            <w:r>
              <w:t xml:space="preserve">the bill takes effect </w:t>
            </w:r>
            <w:r>
              <w:t>September 1, 2019.</w:t>
            </w:r>
          </w:p>
          <w:p w:rsidR="008423E4" w:rsidRPr="00233FDB" w:rsidRDefault="00347EF8" w:rsidP="00872AE4">
            <w:pPr>
              <w:rPr>
                <w:b/>
              </w:rPr>
            </w:pPr>
          </w:p>
        </w:tc>
      </w:tr>
    </w:tbl>
    <w:p w:rsidR="008423E4" w:rsidRPr="00BE0E75" w:rsidRDefault="00347EF8" w:rsidP="008423E4">
      <w:pPr>
        <w:spacing w:line="480" w:lineRule="auto"/>
        <w:jc w:val="both"/>
        <w:rPr>
          <w:rFonts w:ascii="Arial" w:hAnsi="Arial"/>
          <w:sz w:val="16"/>
          <w:szCs w:val="16"/>
        </w:rPr>
      </w:pPr>
    </w:p>
    <w:p w:rsidR="004108C3" w:rsidRPr="008423E4" w:rsidRDefault="00347EF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7EF8">
      <w:r>
        <w:separator/>
      </w:r>
    </w:p>
  </w:endnote>
  <w:endnote w:type="continuationSeparator" w:id="0">
    <w:p w:rsidR="00000000" w:rsidRDefault="003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37F9D" w:rsidTr="009C1E9A">
      <w:trPr>
        <w:cantSplit/>
      </w:trPr>
      <w:tc>
        <w:tcPr>
          <w:tcW w:w="0" w:type="pct"/>
        </w:tcPr>
        <w:p w:rsidR="00137D90" w:rsidRDefault="00347EF8" w:rsidP="009C1E9A">
          <w:pPr>
            <w:pStyle w:val="Footer"/>
            <w:tabs>
              <w:tab w:val="clear" w:pos="8640"/>
              <w:tab w:val="right" w:pos="9360"/>
            </w:tabs>
          </w:pPr>
        </w:p>
      </w:tc>
      <w:tc>
        <w:tcPr>
          <w:tcW w:w="2395" w:type="pct"/>
        </w:tcPr>
        <w:p w:rsidR="00137D90" w:rsidRDefault="00347EF8" w:rsidP="009C1E9A">
          <w:pPr>
            <w:pStyle w:val="Footer"/>
            <w:tabs>
              <w:tab w:val="clear" w:pos="8640"/>
              <w:tab w:val="right" w:pos="9360"/>
            </w:tabs>
          </w:pPr>
        </w:p>
        <w:p w:rsidR="001A4310" w:rsidRDefault="00347EF8" w:rsidP="009C1E9A">
          <w:pPr>
            <w:pStyle w:val="Footer"/>
            <w:tabs>
              <w:tab w:val="clear" w:pos="8640"/>
              <w:tab w:val="right" w:pos="9360"/>
            </w:tabs>
          </w:pPr>
        </w:p>
        <w:p w:rsidR="00137D90" w:rsidRDefault="00347EF8" w:rsidP="009C1E9A">
          <w:pPr>
            <w:pStyle w:val="Footer"/>
            <w:tabs>
              <w:tab w:val="clear" w:pos="8640"/>
              <w:tab w:val="right" w:pos="9360"/>
            </w:tabs>
          </w:pPr>
        </w:p>
      </w:tc>
      <w:tc>
        <w:tcPr>
          <w:tcW w:w="2453" w:type="pct"/>
        </w:tcPr>
        <w:p w:rsidR="00137D90" w:rsidRDefault="00347EF8" w:rsidP="009C1E9A">
          <w:pPr>
            <w:pStyle w:val="Footer"/>
            <w:tabs>
              <w:tab w:val="clear" w:pos="8640"/>
              <w:tab w:val="right" w:pos="9360"/>
            </w:tabs>
            <w:jc w:val="right"/>
          </w:pPr>
        </w:p>
      </w:tc>
    </w:tr>
    <w:tr w:rsidR="00237F9D" w:rsidTr="009C1E9A">
      <w:trPr>
        <w:cantSplit/>
      </w:trPr>
      <w:tc>
        <w:tcPr>
          <w:tcW w:w="0" w:type="pct"/>
        </w:tcPr>
        <w:p w:rsidR="00EC379B" w:rsidRDefault="00347EF8" w:rsidP="009C1E9A">
          <w:pPr>
            <w:pStyle w:val="Footer"/>
            <w:tabs>
              <w:tab w:val="clear" w:pos="8640"/>
              <w:tab w:val="right" w:pos="9360"/>
            </w:tabs>
          </w:pPr>
        </w:p>
      </w:tc>
      <w:tc>
        <w:tcPr>
          <w:tcW w:w="2395" w:type="pct"/>
        </w:tcPr>
        <w:p w:rsidR="00EC379B" w:rsidRPr="009C1E9A" w:rsidRDefault="00347EF8" w:rsidP="009C1E9A">
          <w:pPr>
            <w:pStyle w:val="Footer"/>
            <w:tabs>
              <w:tab w:val="clear" w:pos="8640"/>
              <w:tab w:val="right" w:pos="9360"/>
            </w:tabs>
            <w:rPr>
              <w:rFonts w:ascii="Shruti" w:hAnsi="Shruti"/>
              <w:sz w:val="22"/>
            </w:rPr>
          </w:pPr>
          <w:r>
            <w:rPr>
              <w:rFonts w:ascii="Shruti" w:hAnsi="Shruti"/>
              <w:sz w:val="22"/>
            </w:rPr>
            <w:t>86R 35163</w:t>
          </w:r>
        </w:p>
      </w:tc>
      <w:tc>
        <w:tcPr>
          <w:tcW w:w="2453" w:type="pct"/>
        </w:tcPr>
        <w:p w:rsidR="00EC379B" w:rsidRDefault="00347EF8" w:rsidP="009C1E9A">
          <w:pPr>
            <w:pStyle w:val="Footer"/>
            <w:tabs>
              <w:tab w:val="clear" w:pos="8640"/>
              <w:tab w:val="right" w:pos="9360"/>
            </w:tabs>
            <w:jc w:val="right"/>
          </w:pPr>
          <w:r>
            <w:fldChar w:fldCharType="begin"/>
          </w:r>
          <w:r>
            <w:instrText xml:space="preserve"> DOCPROPERTY  OTID  \* MERGEFORMAT </w:instrText>
          </w:r>
          <w:r>
            <w:fldChar w:fldCharType="separate"/>
          </w:r>
          <w:r>
            <w:t>19.137.986</w:t>
          </w:r>
          <w:r>
            <w:fldChar w:fldCharType="end"/>
          </w:r>
        </w:p>
      </w:tc>
    </w:tr>
    <w:tr w:rsidR="00237F9D" w:rsidTr="009C1E9A">
      <w:trPr>
        <w:cantSplit/>
      </w:trPr>
      <w:tc>
        <w:tcPr>
          <w:tcW w:w="0" w:type="pct"/>
        </w:tcPr>
        <w:p w:rsidR="00EC379B" w:rsidRDefault="00347EF8" w:rsidP="009C1E9A">
          <w:pPr>
            <w:pStyle w:val="Footer"/>
            <w:tabs>
              <w:tab w:val="clear" w:pos="4320"/>
              <w:tab w:val="clear" w:pos="8640"/>
              <w:tab w:val="left" w:pos="2865"/>
            </w:tabs>
          </w:pPr>
        </w:p>
      </w:tc>
      <w:tc>
        <w:tcPr>
          <w:tcW w:w="2395" w:type="pct"/>
        </w:tcPr>
        <w:p w:rsidR="00EC379B" w:rsidRPr="009C1E9A" w:rsidRDefault="00347EF8" w:rsidP="009C1E9A">
          <w:pPr>
            <w:pStyle w:val="Footer"/>
            <w:tabs>
              <w:tab w:val="clear" w:pos="4320"/>
              <w:tab w:val="clear" w:pos="8640"/>
              <w:tab w:val="left" w:pos="2865"/>
            </w:tabs>
            <w:rPr>
              <w:rFonts w:ascii="Shruti" w:hAnsi="Shruti"/>
              <w:sz w:val="22"/>
            </w:rPr>
          </w:pPr>
        </w:p>
      </w:tc>
      <w:tc>
        <w:tcPr>
          <w:tcW w:w="2453" w:type="pct"/>
        </w:tcPr>
        <w:p w:rsidR="00EC379B" w:rsidRDefault="00347EF8" w:rsidP="006D504F">
          <w:pPr>
            <w:pStyle w:val="Footer"/>
            <w:rPr>
              <w:rStyle w:val="PageNumber"/>
            </w:rPr>
          </w:pPr>
        </w:p>
        <w:p w:rsidR="00EC379B" w:rsidRDefault="00347EF8" w:rsidP="009C1E9A">
          <w:pPr>
            <w:pStyle w:val="Footer"/>
            <w:tabs>
              <w:tab w:val="clear" w:pos="8640"/>
              <w:tab w:val="right" w:pos="9360"/>
            </w:tabs>
            <w:jc w:val="right"/>
          </w:pPr>
        </w:p>
      </w:tc>
    </w:tr>
    <w:tr w:rsidR="00237F9D" w:rsidTr="009C1E9A">
      <w:trPr>
        <w:cantSplit/>
        <w:trHeight w:val="323"/>
      </w:trPr>
      <w:tc>
        <w:tcPr>
          <w:tcW w:w="0" w:type="pct"/>
          <w:gridSpan w:val="3"/>
        </w:tcPr>
        <w:p w:rsidR="00EC379B" w:rsidRDefault="00347E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47EF8" w:rsidP="009C1E9A">
          <w:pPr>
            <w:pStyle w:val="Footer"/>
            <w:tabs>
              <w:tab w:val="clear" w:pos="8640"/>
              <w:tab w:val="right" w:pos="9360"/>
            </w:tabs>
            <w:jc w:val="center"/>
          </w:pPr>
        </w:p>
      </w:tc>
    </w:tr>
  </w:tbl>
  <w:p w:rsidR="00EC379B" w:rsidRPr="00FF6F72" w:rsidRDefault="00347EF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7EF8">
      <w:r>
        <w:separator/>
      </w:r>
    </w:p>
  </w:footnote>
  <w:footnote w:type="continuationSeparator" w:id="0">
    <w:p w:rsidR="00000000" w:rsidRDefault="0034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7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7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47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9D"/>
    <w:rsid w:val="00237F9D"/>
    <w:rsid w:val="0034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9A41D-A846-46D3-9A10-BF86AB19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D69C6"/>
    <w:rPr>
      <w:sz w:val="16"/>
      <w:szCs w:val="16"/>
    </w:rPr>
  </w:style>
  <w:style w:type="paragraph" w:styleId="CommentText">
    <w:name w:val="annotation text"/>
    <w:basedOn w:val="Normal"/>
    <w:link w:val="CommentTextChar"/>
    <w:semiHidden/>
    <w:unhideWhenUsed/>
    <w:rsid w:val="00FD69C6"/>
    <w:rPr>
      <w:sz w:val="20"/>
      <w:szCs w:val="20"/>
    </w:rPr>
  </w:style>
  <w:style w:type="character" w:customStyle="1" w:styleId="CommentTextChar">
    <w:name w:val="Comment Text Char"/>
    <w:basedOn w:val="DefaultParagraphFont"/>
    <w:link w:val="CommentText"/>
    <w:semiHidden/>
    <w:rsid w:val="00FD69C6"/>
  </w:style>
  <w:style w:type="paragraph" w:styleId="CommentSubject">
    <w:name w:val="annotation subject"/>
    <w:basedOn w:val="CommentText"/>
    <w:next w:val="CommentText"/>
    <w:link w:val="CommentSubjectChar"/>
    <w:semiHidden/>
    <w:unhideWhenUsed/>
    <w:rsid w:val="00FD69C6"/>
    <w:rPr>
      <w:b/>
      <w:bCs/>
    </w:rPr>
  </w:style>
  <w:style w:type="character" w:customStyle="1" w:styleId="CommentSubjectChar">
    <w:name w:val="Comment Subject Char"/>
    <w:basedOn w:val="CommentTextChar"/>
    <w:link w:val="CommentSubject"/>
    <w:semiHidden/>
    <w:rsid w:val="00FD69C6"/>
    <w:rPr>
      <w:b/>
      <w:bCs/>
    </w:rPr>
  </w:style>
  <w:style w:type="paragraph" w:styleId="Revision">
    <w:name w:val="Revision"/>
    <w:hidden/>
    <w:uiPriority w:val="99"/>
    <w:semiHidden/>
    <w:rsid w:val="00FD6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1394</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SB01294 (Committee Report (Unamended))</vt:lpstr>
    </vt:vector>
  </TitlesOfParts>
  <Company>State of Texas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35163</dc:subject>
  <dc:creator>State of Texas</dc:creator>
  <dc:description>SB 1294 by Powell-(H)Ways &amp; Means</dc:description>
  <cp:lastModifiedBy>Scotty Wimberley</cp:lastModifiedBy>
  <cp:revision>2</cp:revision>
  <cp:lastPrinted>2003-11-26T17:21:00Z</cp:lastPrinted>
  <dcterms:created xsi:type="dcterms:W3CDTF">2019-05-18T17:48:00Z</dcterms:created>
  <dcterms:modified xsi:type="dcterms:W3CDTF">2019-05-18T17:48:00Z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19.137.986</vt:lpwstr>
  </property>
</Properties>
</file>