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94525" w:rsidTr="00345119">
        <w:tc>
          <w:tcPr>
            <w:tcW w:w="9576" w:type="dxa"/>
            <w:noWrap/>
          </w:tcPr>
          <w:p w:rsidR="008423E4" w:rsidRPr="0022177D" w:rsidRDefault="00F23F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3F58" w:rsidP="008423E4">
      <w:pPr>
        <w:jc w:val="center"/>
      </w:pPr>
    </w:p>
    <w:p w:rsidR="008423E4" w:rsidRPr="00B31F0E" w:rsidRDefault="00F23F58" w:rsidP="008423E4"/>
    <w:p w:rsidR="008423E4" w:rsidRPr="00742794" w:rsidRDefault="00F23F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4525" w:rsidTr="00345119">
        <w:tc>
          <w:tcPr>
            <w:tcW w:w="9576" w:type="dxa"/>
          </w:tcPr>
          <w:p w:rsidR="008423E4" w:rsidRPr="00861995" w:rsidRDefault="00F23F58" w:rsidP="00345119">
            <w:pPr>
              <w:jc w:val="right"/>
            </w:pPr>
            <w:r>
              <w:t>S.B. 1303</w:t>
            </w:r>
          </w:p>
        </w:tc>
      </w:tr>
      <w:tr w:rsidR="00994525" w:rsidTr="00345119">
        <w:tc>
          <w:tcPr>
            <w:tcW w:w="9576" w:type="dxa"/>
          </w:tcPr>
          <w:p w:rsidR="008423E4" w:rsidRPr="00861995" w:rsidRDefault="00F23F58" w:rsidP="00345119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994525" w:rsidTr="00345119">
        <w:tc>
          <w:tcPr>
            <w:tcW w:w="9576" w:type="dxa"/>
          </w:tcPr>
          <w:p w:rsidR="008423E4" w:rsidRPr="00861995" w:rsidRDefault="00F23F58" w:rsidP="00345119">
            <w:pPr>
              <w:jc w:val="right"/>
            </w:pPr>
            <w:r>
              <w:t>Land &amp; Resource Management</w:t>
            </w:r>
          </w:p>
        </w:tc>
      </w:tr>
      <w:tr w:rsidR="00994525" w:rsidTr="00345119">
        <w:tc>
          <w:tcPr>
            <w:tcW w:w="9576" w:type="dxa"/>
          </w:tcPr>
          <w:p w:rsidR="008423E4" w:rsidRDefault="00F23F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3F58" w:rsidP="008423E4">
      <w:pPr>
        <w:tabs>
          <w:tab w:val="right" w:pos="9360"/>
        </w:tabs>
      </w:pPr>
    </w:p>
    <w:p w:rsidR="008423E4" w:rsidRDefault="00F23F58" w:rsidP="008423E4"/>
    <w:p w:rsidR="008423E4" w:rsidRDefault="00F23F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94525" w:rsidTr="00345119">
        <w:tc>
          <w:tcPr>
            <w:tcW w:w="9576" w:type="dxa"/>
          </w:tcPr>
          <w:p w:rsidR="008423E4" w:rsidRPr="00A8133F" w:rsidRDefault="00F23F58" w:rsidP="005333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3F58" w:rsidP="00533366"/>
          <w:p w:rsidR="008423E4" w:rsidRDefault="00F23F58" w:rsidP="005333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</w:t>
            </w:r>
            <w:r>
              <w:t xml:space="preserve">that property owners </w:t>
            </w:r>
            <w:r>
              <w:t xml:space="preserve">in a municipality's extraterritorial jurisdiction </w:t>
            </w:r>
            <w:r>
              <w:t xml:space="preserve">are affected </w:t>
            </w:r>
            <w:r>
              <w:t xml:space="preserve">to a certain degree by municipal </w:t>
            </w:r>
            <w:r>
              <w:t>regulation</w:t>
            </w:r>
            <w:r>
              <w:t>.</w:t>
            </w:r>
            <w:r>
              <w:t xml:space="preserve"> </w:t>
            </w:r>
            <w:r>
              <w:t>C</w:t>
            </w:r>
            <w:r>
              <w:t>oncerns have been raised regarding a lack of</w:t>
            </w:r>
            <w:r>
              <w:t xml:space="preserve"> communicat</w:t>
            </w:r>
            <w:r>
              <w:t>ion and information</w:t>
            </w:r>
            <w:r>
              <w:t xml:space="preserve"> available to the public</w:t>
            </w:r>
            <w:r>
              <w:t xml:space="preserve"> regarding an expansion of municipal territory through an annexation and the resulting extension of </w:t>
            </w:r>
            <w:r>
              <w:t>a</w:t>
            </w:r>
            <w:r>
              <w:t xml:space="preserve"> municipali</w:t>
            </w:r>
            <w:r>
              <w:t>ty's extraterritorial jurisdiction.</w:t>
            </w:r>
            <w:r>
              <w:t xml:space="preserve"> S.B. 1303 </w:t>
            </w:r>
            <w:r>
              <w:t xml:space="preserve">seeks to </w:t>
            </w:r>
            <w:r>
              <w:t xml:space="preserve">address these concerns by </w:t>
            </w:r>
            <w:r>
              <w:t>setting out</w:t>
            </w:r>
            <w:r>
              <w:t xml:space="preserve"> requirements</w:t>
            </w:r>
            <w:r>
              <w:t xml:space="preserve"> relating to </w:t>
            </w:r>
            <w:r w:rsidRPr="00C95531">
              <w:t>maps of the actual or proposed boundaries and extraterritorial jurisdiction of a municipality and certain notices related to expanding the</w:t>
            </w:r>
            <w:r w:rsidRPr="00C95531">
              <w:t xml:space="preserve"> boundaries.</w:t>
            </w:r>
          </w:p>
          <w:p w:rsidR="008423E4" w:rsidRPr="00E26B13" w:rsidRDefault="00F23F58" w:rsidP="00533366">
            <w:pPr>
              <w:rPr>
                <w:b/>
              </w:rPr>
            </w:pPr>
          </w:p>
        </w:tc>
      </w:tr>
      <w:tr w:rsidR="00994525" w:rsidTr="00345119">
        <w:tc>
          <w:tcPr>
            <w:tcW w:w="9576" w:type="dxa"/>
          </w:tcPr>
          <w:p w:rsidR="0017725B" w:rsidRDefault="00F23F58" w:rsidP="005333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3F58" w:rsidP="00533366">
            <w:pPr>
              <w:rPr>
                <w:b/>
                <w:u w:val="single"/>
              </w:rPr>
            </w:pPr>
          </w:p>
          <w:p w:rsidR="00F04CC8" w:rsidRPr="00F04CC8" w:rsidRDefault="00F23F58" w:rsidP="0053336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F23F58" w:rsidP="00533366">
            <w:pPr>
              <w:rPr>
                <w:b/>
                <w:u w:val="single"/>
              </w:rPr>
            </w:pPr>
          </w:p>
        </w:tc>
      </w:tr>
      <w:tr w:rsidR="00994525" w:rsidTr="00345119">
        <w:tc>
          <w:tcPr>
            <w:tcW w:w="9576" w:type="dxa"/>
          </w:tcPr>
          <w:p w:rsidR="008423E4" w:rsidRPr="00A8133F" w:rsidRDefault="00F23F58" w:rsidP="005333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3F58" w:rsidP="00533366"/>
          <w:p w:rsidR="00F04CC8" w:rsidRDefault="00F23F58" w:rsidP="005333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23F58" w:rsidP="00533366">
            <w:pPr>
              <w:rPr>
                <w:b/>
              </w:rPr>
            </w:pPr>
          </w:p>
        </w:tc>
      </w:tr>
      <w:tr w:rsidR="00994525" w:rsidTr="00345119">
        <w:tc>
          <w:tcPr>
            <w:tcW w:w="9576" w:type="dxa"/>
          </w:tcPr>
          <w:p w:rsidR="008423E4" w:rsidRPr="00A8133F" w:rsidRDefault="00F23F58" w:rsidP="005333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3F58" w:rsidP="00533366"/>
          <w:p w:rsidR="00BE5074" w:rsidRDefault="00F23F58" w:rsidP="00533366">
            <w:pPr>
              <w:pStyle w:val="Header"/>
              <w:jc w:val="both"/>
            </w:pPr>
            <w:r>
              <w:t xml:space="preserve">S.B. 1303 amends the Local Government Code to </w:t>
            </w:r>
            <w:r>
              <w:t xml:space="preserve">require </w:t>
            </w:r>
            <w:r>
              <w:t>a</w:t>
            </w:r>
            <w:r>
              <w:t xml:space="preserve"> municipality to maintain a copy of </w:t>
            </w:r>
            <w:r>
              <w:t>its</w:t>
            </w:r>
            <w:r>
              <w:t xml:space="preserve"> map </w:t>
            </w:r>
            <w:r>
              <w:t>of municipal boundaries and extraterritorial jurisdiction</w:t>
            </w:r>
            <w:r>
              <w:t xml:space="preserve"> in a location that is easily accessible to the public, including on the municipality's website if </w:t>
            </w:r>
            <w:r>
              <w:t>t</w:t>
            </w:r>
            <w:r>
              <w:t>he municipality maintains a website</w:t>
            </w:r>
            <w:r>
              <w:t>. The bill requires a municipality to make a copy of the</w:t>
            </w:r>
            <w:r w:rsidRPr="00E813D6">
              <w:t xml:space="preserve"> map available without charge.</w:t>
            </w:r>
            <w:r>
              <w:t xml:space="preserve"> </w:t>
            </w:r>
          </w:p>
          <w:p w:rsidR="00BE5074" w:rsidRDefault="00F23F58" w:rsidP="005333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813D6" w:rsidRDefault="00F23F58" w:rsidP="00533366">
            <w:pPr>
              <w:pStyle w:val="Header"/>
              <w:jc w:val="both"/>
            </w:pPr>
            <w:r>
              <w:t>S.B. 1303 requires a home-rule municipality</w:t>
            </w:r>
            <w:r>
              <w:t xml:space="preserve">, </w:t>
            </w:r>
            <w:r w:rsidRPr="003B7937">
              <w:t xml:space="preserve">in addition to </w:t>
            </w:r>
            <w:r w:rsidRPr="003B7937">
              <w:t xml:space="preserve">the general </w:t>
            </w:r>
            <w:r w:rsidRPr="00704E25">
              <w:t>requirements</w:t>
            </w:r>
            <w:r>
              <w:t xml:space="preserve"> for maps of municipal boundaries and extraterri</w:t>
            </w:r>
            <w:r>
              <w:t>torial jurisdiction</w:t>
            </w:r>
            <w:r>
              <w:t>,</w:t>
            </w:r>
            <w:r>
              <w:t xml:space="preserve"> to create, or contract for the creation of, and make publicly </w:t>
            </w:r>
            <w:r w:rsidRPr="00BA0251">
              <w:t>availa</w:t>
            </w:r>
            <w:r w:rsidRPr="003F5F2F">
              <w:t>ble</w:t>
            </w:r>
            <w:r w:rsidRPr="003F5F2F">
              <w:t xml:space="preserve"> </w:t>
            </w:r>
            <w:r w:rsidRPr="00183F65">
              <w:t>not later than January 1, 2020</w:t>
            </w:r>
            <w:r w:rsidRPr="003F5F2F">
              <w:t>,</w:t>
            </w:r>
            <w:r w:rsidRPr="003F5F2F">
              <w:t xml:space="preserve"> </w:t>
            </w:r>
            <w:r>
              <w:t>a digital map</w:t>
            </w:r>
            <w:r>
              <w:t xml:space="preserve"> that complies </w:t>
            </w:r>
            <w:r w:rsidRPr="003B7937">
              <w:t xml:space="preserve">with </w:t>
            </w:r>
            <w:r w:rsidRPr="003B7937">
              <w:t>those requirements</w:t>
            </w:r>
            <w:r>
              <w:t xml:space="preserve">. The </w:t>
            </w:r>
            <w:r>
              <w:t xml:space="preserve">bill </w:t>
            </w:r>
            <w:r>
              <w:t>requires the</w:t>
            </w:r>
            <w:r w:rsidRPr="00BA0251">
              <w:t xml:space="preserve"> digital map </w:t>
            </w:r>
            <w:r>
              <w:t>to</w:t>
            </w:r>
            <w:r w:rsidRPr="00BA0251">
              <w:t xml:space="preserve"> be made available without charge and in a format widely used by common geograp</w:t>
            </w:r>
            <w:r>
              <w:t>hic information system</w:t>
            </w:r>
            <w:r>
              <w:t xml:space="preserve"> (GIS)</w:t>
            </w:r>
            <w:r>
              <w:t xml:space="preserve"> software and </w:t>
            </w:r>
            <w:r>
              <w:t xml:space="preserve">requires the municipality to make the digital map available on the municipality's website if </w:t>
            </w:r>
            <w:r w:rsidRPr="00E54D2C">
              <w:t>the municipality maintains a website</w:t>
            </w:r>
            <w:r>
              <w:t xml:space="preserve">. The </w:t>
            </w:r>
            <w:r>
              <w:t>bill requires a</w:t>
            </w:r>
            <w:r>
              <w:t xml:space="preserve"> home-rule municipality that does not have common </w:t>
            </w:r>
            <w:r>
              <w:t>GIS</w:t>
            </w:r>
            <w:r>
              <w:t xml:space="preserve"> </w:t>
            </w:r>
            <w:r>
              <w:t xml:space="preserve">software </w:t>
            </w:r>
            <w:r>
              <w:t>to</w:t>
            </w:r>
            <w:r>
              <w:t xml:space="preserve"> make the digital map available in any othe</w:t>
            </w:r>
            <w:r>
              <w:t>r widely used electronic format</w:t>
            </w:r>
            <w:r>
              <w:t xml:space="preserve"> in accordance with these provisions </w:t>
            </w:r>
            <w:r w:rsidRPr="00704E25">
              <w:t>of the bill.</w:t>
            </w:r>
          </w:p>
          <w:p w:rsidR="00DE5DCE" w:rsidRDefault="00F23F58" w:rsidP="00533366">
            <w:pPr>
              <w:pStyle w:val="Header"/>
              <w:jc w:val="both"/>
            </w:pPr>
          </w:p>
          <w:p w:rsidR="00125476" w:rsidRDefault="00F23F58" w:rsidP="00533366">
            <w:pPr>
              <w:pStyle w:val="Header"/>
              <w:jc w:val="both"/>
            </w:pPr>
            <w:r>
              <w:t xml:space="preserve">S.B. 1303 requires a </w:t>
            </w:r>
            <w:r w:rsidRPr="00674EEA">
              <w:t>tier 1</w:t>
            </w:r>
            <w:r>
              <w:t xml:space="preserve"> </w:t>
            </w:r>
            <w:r>
              <w:t>home-rule municipality,</w:t>
            </w:r>
            <w:r>
              <w:t xml:space="preserve"> before the 90th day after the date the municipality adopts or amends a municipal annexation plan, to give written notice to each property owner, </w:t>
            </w:r>
            <w:r w:rsidRPr="00704E25">
              <w:t>as specified by the bill</w:t>
            </w:r>
            <w:r>
              <w:t>,</w:t>
            </w:r>
            <w:r>
              <w:t xml:space="preserve"> in any area that would be newly included in the municipality's extraterritorial juri</w:t>
            </w:r>
            <w:r>
              <w:t>sdiction as a result of the proposed annexation.</w:t>
            </w:r>
            <w:r>
              <w:t xml:space="preserve"> </w:t>
            </w:r>
            <w:r>
              <w:t>The bill requires the notice to include the following</w:t>
            </w:r>
            <w:r>
              <w:t xml:space="preserve"> information</w:t>
            </w:r>
            <w:r>
              <w:t xml:space="preserve">: </w:t>
            </w:r>
          </w:p>
          <w:p w:rsidR="00125476" w:rsidRDefault="00F23F58" w:rsidP="0053336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description of the area that has been included in the municipality's annexation plan; </w:t>
            </w:r>
          </w:p>
          <w:p w:rsidR="00125476" w:rsidRDefault="00F23F58" w:rsidP="0053336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statement that the completed annexation of that </w:t>
            </w:r>
            <w:r>
              <w:t>area will expand the municipality's extraterritorial jurisdiction to include all or part of the property owner's property;</w:t>
            </w:r>
          </w:p>
          <w:p w:rsidR="00125476" w:rsidRDefault="00F23F58" w:rsidP="0053336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statement of the purpose of extraterritorial jurisdiction designation; and</w:t>
            </w:r>
          </w:p>
          <w:p w:rsidR="00125476" w:rsidRDefault="00F23F58" w:rsidP="0053336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brief description of each municipal ordinance that wou</w:t>
            </w:r>
            <w:r>
              <w:t>ld be applicable in the area that would be newly included in the municipality's extraterritorial jurisdiction.</w:t>
            </w:r>
          </w:p>
          <w:p w:rsidR="00DE5DCE" w:rsidRDefault="00F23F58" w:rsidP="00533366">
            <w:pPr>
              <w:pStyle w:val="Header"/>
              <w:jc w:val="both"/>
            </w:pPr>
          </w:p>
          <w:p w:rsidR="00DF0AB7" w:rsidRDefault="00F23F58" w:rsidP="00533366">
            <w:pPr>
              <w:pStyle w:val="Header"/>
              <w:jc w:val="both"/>
            </w:pPr>
            <w:r>
              <w:t>S.B. 1303</w:t>
            </w:r>
            <w:r>
              <w:t xml:space="preserve"> requires a tier 1 home-rule municipality </w:t>
            </w:r>
            <w:r w:rsidRPr="00704E25">
              <w:t>proposing</w:t>
            </w:r>
            <w:r>
              <w:t xml:space="preserve"> to annex </w:t>
            </w:r>
            <w:r w:rsidRPr="00704E25">
              <w:t>an area under a municipal annexation plan</w:t>
            </w:r>
            <w:r w:rsidRPr="00183F65">
              <w:t xml:space="preserve"> </w:t>
            </w:r>
            <w:r>
              <w:t>or to annex</w:t>
            </w:r>
            <w:r w:rsidRPr="00704E25">
              <w:t xml:space="preserve"> an area exempted fro</w:t>
            </w:r>
            <w:r w:rsidRPr="00704E25">
              <w:t>m such a plan</w:t>
            </w:r>
            <w:r>
              <w:t xml:space="preserve"> to publish notice of</w:t>
            </w:r>
            <w:r>
              <w:t xml:space="preserve"> </w:t>
            </w:r>
            <w:r w:rsidRPr="00704E25">
              <w:t>the requisite</w:t>
            </w:r>
            <w:r w:rsidRPr="00704E25">
              <w:t xml:space="preserve"> annexation hearings</w:t>
            </w:r>
            <w:r>
              <w:t xml:space="preserve"> in a newspaper of general circulation</w:t>
            </w:r>
            <w:r w:rsidRPr="007E37A3">
              <w:t xml:space="preserve"> in any area that would be newly included in the municipality's extraterritorial jurisdiction by the expansion of the municipality's extraterritorial </w:t>
            </w:r>
            <w:r w:rsidRPr="007E37A3">
              <w:t>jurisdiction resulting from the proposed annexation.</w:t>
            </w:r>
            <w:r>
              <w:t xml:space="preserve"> The bill requires </w:t>
            </w:r>
            <w:r>
              <w:t>the</w:t>
            </w:r>
            <w:r w:rsidRPr="00704E25">
              <w:t xml:space="preserve"> home</w:t>
            </w:r>
            <w:r>
              <w:noBreakHyphen/>
            </w:r>
            <w:r w:rsidRPr="00704E25">
              <w:t>rule municipality's</w:t>
            </w:r>
            <w:r>
              <w:t xml:space="preserve"> notice for each hearing, </w:t>
            </w:r>
            <w:r w:rsidRPr="00165B08">
              <w:t>if applicable</w:t>
            </w:r>
            <w:r>
              <w:t>, to include the following</w:t>
            </w:r>
            <w:r>
              <w:t xml:space="preserve"> information</w:t>
            </w:r>
            <w:r>
              <w:t>:</w:t>
            </w:r>
          </w:p>
          <w:p w:rsidR="00DF0AB7" w:rsidRDefault="00F23F58" w:rsidP="0053336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statement that the completed annexation of the area will expand the </w:t>
            </w:r>
            <w:r>
              <w:t>municipality's extraterritorial jurisdiction;</w:t>
            </w:r>
          </w:p>
          <w:p w:rsidR="00DF0AB7" w:rsidRDefault="00F23F58" w:rsidP="0053336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description of the area that would be newly included in the municipality's extraterritorial jurisdiction;</w:t>
            </w:r>
          </w:p>
          <w:p w:rsidR="00DF0AB7" w:rsidRDefault="00F23F58" w:rsidP="0053336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statement of the purpose of extraterritorial jurisdiction designation; and</w:t>
            </w:r>
          </w:p>
          <w:p w:rsidR="00DF0AB7" w:rsidRDefault="00F23F58" w:rsidP="0053336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brief description of ea</w:t>
            </w:r>
            <w:r>
              <w:t>ch municipal ordinance that would be applicable in the area that would be newly included in the municipality's extraterritorial jurisdiction.</w:t>
            </w:r>
          </w:p>
          <w:p w:rsidR="007E37A3" w:rsidRDefault="00F23F58" w:rsidP="00533366">
            <w:pPr>
              <w:pStyle w:val="Header"/>
              <w:jc w:val="both"/>
            </w:pPr>
          </w:p>
          <w:p w:rsidR="00CB03D3" w:rsidRDefault="00F23F58" w:rsidP="00533366">
            <w:pPr>
              <w:pStyle w:val="Header"/>
              <w:jc w:val="both"/>
            </w:pPr>
            <w:r>
              <w:t xml:space="preserve">S.B. 1303 </w:t>
            </w:r>
            <w:r>
              <w:t>requires</w:t>
            </w:r>
            <w:r w:rsidRPr="009402DC">
              <w:t xml:space="preserve"> a</w:t>
            </w:r>
            <w:r>
              <w:t xml:space="preserve"> tier 1</w:t>
            </w:r>
            <w:r w:rsidRPr="009402DC">
              <w:t xml:space="preserve"> home-rule municipality,</w:t>
            </w:r>
            <w:r>
              <w:t xml:space="preserve"> </w:t>
            </w:r>
            <w:r w:rsidRPr="009402DC">
              <w:t>before</w:t>
            </w:r>
            <w:r>
              <w:t xml:space="preserve"> </w:t>
            </w:r>
            <w:r w:rsidRPr="007D5D04">
              <w:t>the 90th day after the date the municipality adopts or</w:t>
            </w:r>
            <w:r w:rsidRPr="007D5D04">
              <w:t xml:space="preserve"> amends a</w:t>
            </w:r>
            <w:r>
              <w:t xml:space="preserve"> municipal</w:t>
            </w:r>
            <w:r w:rsidRPr="007D5D04">
              <w:t xml:space="preserve"> annexation plan </w:t>
            </w:r>
            <w:r w:rsidRPr="00704E25">
              <w:t>or before</w:t>
            </w:r>
            <w:r w:rsidRPr="00704E25">
              <w:t xml:space="preserve"> the municipality may institute annexation proceedings</w:t>
            </w:r>
            <w:r w:rsidRPr="00704E25">
              <w:t xml:space="preserve"> for an area exempted from </w:t>
            </w:r>
            <w:r w:rsidRPr="004C162E">
              <w:t xml:space="preserve">such </w:t>
            </w:r>
            <w:r w:rsidRPr="004C162E">
              <w:t>a plan</w:t>
            </w:r>
            <w:r>
              <w:t xml:space="preserve">, </w:t>
            </w:r>
            <w:r>
              <w:t>to</w:t>
            </w:r>
            <w:r w:rsidRPr="009402DC">
              <w:t xml:space="preserve"> create, or contract for the creation of, and make publicly available</w:t>
            </w:r>
            <w:r>
              <w:t xml:space="preserve"> </w:t>
            </w:r>
            <w:r w:rsidRPr="009402DC">
              <w:t>a digital map that identifies the area propos</w:t>
            </w:r>
            <w:r w:rsidRPr="009402DC">
              <w:t xml:space="preserve">ed for annexation and any area that would be newly included in the municipality's extraterritorial jurisdiction as a result of the proposed annexation. </w:t>
            </w:r>
            <w:r>
              <w:t xml:space="preserve">The bill requires the </w:t>
            </w:r>
            <w:r w:rsidRPr="00416322">
              <w:t xml:space="preserve">digital map </w:t>
            </w:r>
            <w:r>
              <w:t>to</w:t>
            </w:r>
            <w:r w:rsidRPr="00416322">
              <w:t xml:space="preserve"> be made available without charge and in a format widely used by com</w:t>
            </w:r>
            <w:r w:rsidRPr="00416322">
              <w:t xml:space="preserve">mon </w:t>
            </w:r>
            <w:r>
              <w:t>GIS</w:t>
            </w:r>
            <w:r w:rsidRPr="00416322">
              <w:t xml:space="preserve"> software or in any other widely used electronic format if the municipality does not have common </w:t>
            </w:r>
            <w:r>
              <w:t>GIS</w:t>
            </w:r>
            <w:r w:rsidRPr="00416322">
              <w:t xml:space="preserve"> software.</w:t>
            </w:r>
            <w:r>
              <w:t xml:space="preserve"> </w:t>
            </w:r>
            <w:r w:rsidRPr="005A7B4B">
              <w:t xml:space="preserve">The bill requires the municipality to make the digital map available on the municipality's website if </w:t>
            </w:r>
            <w:r>
              <w:t>the municipality maintains a website</w:t>
            </w:r>
            <w:r w:rsidRPr="005A7B4B">
              <w:t>.</w:t>
            </w:r>
          </w:p>
          <w:p w:rsidR="008423E4" w:rsidRPr="00835628" w:rsidRDefault="00F23F58" w:rsidP="00533366">
            <w:pPr>
              <w:pStyle w:val="Header"/>
              <w:jc w:val="both"/>
              <w:rPr>
                <w:b/>
              </w:rPr>
            </w:pPr>
            <w:r>
              <w:t xml:space="preserve">    </w:t>
            </w:r>
          </w:p>
        </w:tc>
      </w:tr>
      <w:tr w:rsidR="00994525" w:rsidTr="00345119">
        <w:tc>
          <w:tcPr>
            <w:tcW w:w="9576" w:type="dxa"/>
          </w:tcPr>
          <w:p w:rsidR="008423E4" w:rsidRPr="00A8133F" w:rsidRDefault="00F23F58" w:rsidP="005333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3F58" w:rsidP="00533366"/>
          <w:p w:rsidR="008423E4" w:rsidRPr="003624F2" w:rsidRDefault="00F23F58" w:rsidP="005333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23F58" w:rsidP="00533366">
            <w:pPr>
              <w:rPr>
                <w:b/>
              </w:rPr>
            </w:pPr>
          </w:p>
        </w:tc>
      </w:tr>
    </w:tbl>
    <w:p w:rsidR="008423E4" w:rsidRPr="00BE0E75" w:rsidRDefault="00F23F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3F5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F58">
      <w:r>
        <w:separator/>
      </w:r>
    </w:p>
  </w:endnote>
  <w:endnote w:type="continuationSeparator" w:id="0">
    <w:p w:rsidR="00000000" w:rsidRDefault="00F2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3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4525" w:rsidTr="009C1E9A">
      <w:trPr>
        <w:cantSplit/>
      </w:trPr>
      <w:tc>
        <w:tcPr>
          <w:tcW w:w="0" w:type="pct"/>
        </w:tcPr>
        <w:p w:rsidR="00137D90" w:rsidRDefault="00F23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3F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3F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3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3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525" w:rsidTr="009C1E9A">
      <w:trPr>
        <w:cantSplit/>
      </w:trPr>
      <w:tc>
        <w:tcPr>
          <w:tcW w:w="0" w:type="pct"/>
        </w:tcPr>
        <w:p w:rsidR="00EC379B" w:rsidRDefault="00F23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3F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31842</w:t>
          </w:r>
        </w:p>
      </w:tc>
      <w:tc>
        <w:tcPr>
          <w:tcW w:w="2453" w:type="pct"/>
        </w:tcPr>
        <w:p w:rsidR="00EC379B" w:rsidRDefault="00F23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19.124.133</w:t>
          </w:r>
          <w:r>
            <w:fldChar w:fldCharType="end"/>
          </w:r>
        </w:p>
      </w:tc>
    </w:tr>
    <w:tr w:rsidR="00994525" w:rsidTr="009C1E9A">
      <w:trPr>
        <w:cantSplit/>
      </w:trPr>
      <w:tc>
        <w:tcPr>
          <w:tcW w:w="0" w:type="pct"/>
        </w:tcPr>
        <w:p w:rsidR="00EC379B" w:rsidRDefault="00F23F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3F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3F58" w:rsidP="006D504F">
          <w:pPr>
            <w:pStyle w:val="Footer"/>
            <w:rPr>
              <w:rStyle w:val="PageNumber"/>
            </w:rPr>
          </w:pPr>
        </w:p>
        <w:p w:rsidR="00EC379B" w:rsidRDefault="00F23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5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3F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3F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3F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F58">
      <w:r>
        <w:separator/>
      </w:r>
    </w:p>
  </w:footnote>
  <w:footnote w:type="continuationSeparator" w:id="0">
    <w:p w:rsidR="00000000" w:rsidRDefault="00F2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3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3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3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DDC"/>
    <w:multiLevelType w:val="hybridMultilevel"/>
    <w:tmpl w:val="F7367886"/>
    <w:lvl w:ilvl="0" w:tplc="0DD4C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A3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25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87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0B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8B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2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47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84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DB3"/>
    <w:multiLevelType w:val="hybridMultilevel"/>
    <w:tmpl w:val="53AA2B14"/>
    <w:lvl w:ilvl="0" w:tplc="0A9C6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5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1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D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69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7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0D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0F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5"/>
    <w:rsid w:val="00994525"/>
    <w:rsid w:val="00F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203F1E-E9FA-4233-8487-54A6C8C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1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3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3D6"/>
    <w:rPr>
      <w:b/>
      <w:bCs/>
    </w:rPr>
  </w:style>
  <w:style w:type="character" w:styleId="Hyperlink">
    <w:name w:val="Hyperlink"/>
    <w:basedOn w:val="DefaultParagraphFont"/>
    <w:unhideWhenUsed/>
    <w:rsid w:val="00674E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5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4521</Characters>
  <Application>Microsoft Office Word</Application>
  <DocSecurity>4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SB01303 (Committee Report (Unamended))</vt:lpstr>
    </vt:vector>
  </TitlesOfParts>
  <Company>State of Texas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31842</dc:subject>
  <dc:creator>State of Texas</dc:creator>
  <dc:description>SB 1303 by Bettencourt-(H)Land &amp; Resource Management</dc:description>
  <cp:lastModifiedBy>Scotty Wimberley</cp:lastModifiedBy>
  <cp:revision>2</cp:revision>
  <cp:lastPrinted>2003-11-26T17:21:00Z</cp:lastPrinted>
  <dcterms:created xsi:type="dcterms:W3CDTF">2019-05-13T15:38:00Z</dcterms:created>
  <dcterms:modified xsi:type="dcterms:W3CDTF">2019-05-13T15:38:00Z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19.124.133</vt:lpwstr>
  </property>
</Properties>
</file>