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03D4C" w:rsidTr="00345119">
        <w:tc>
          <w:tcPr>
            <w:tcW w:w="9576" w:type="dxa"/>
            <w:noWrap/>
          </w:tcPr>
          <w:p w:rsidR="008423E4" w:rsidRPr="0022177D" w:rsidRDefault="001171D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171DB" w:rsidP="008423E4">
      <w:pPr>
        <w:jc w:val="center"/>
      </w:pPr>
    </w:p>
    <w:p w:rsidR="008423E4" w:rsidRPr="00B31F0E" w:rsidRDefault="001171DB" w:rsidP="008423E4"/>
    <w:p w:rsidR="008423E4" w:rsidRPr="00742794" w:rsidRDefault="001171D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03D4C" w:rsidTr="00345119">
        <w:tc>
          <w:tcPr>
            <w:tcW w:w="9576" w:type="dxa"/>
          </w:tcPr>
          <w:p w:rsidR="008423E4" w:rsidRPr="00861995" w:rsidRDefault="001171DB" w:rsidP="00345119">
            <w:pPr>
              <w:jc w:val="right"/>
            </w:pPr>
            <w:r>
              <w:t>C.S.S.B. 1307</w:t>
            </w:r>
          </w:p>
        </w:tc>
      </w:tr>
      <w:tr w:rsidR="00D03D4C" w:rsidTr="00345119">
        <w:tc>
          <w:tcPr>
            <w:tcW w:w="9576" w:type="dxa"/>
          </w:tcPr>
          <w:p w:rsidR="008423E4" w:rsidRPr="00861995" w:rsidRDefault="001171DB" w:rsidP="007B3087">
            <w:pPr>
              <w:jc w:val="right"/>
            </w:pPr>
            <w:r>
              <w:t xml:space="preserve">By: </w:t>
            </w:r>
            <w:r>
              <w:t>Taylor</w:t>
            </w:r>
          </w:p>
        </w:tc>
      </w:tr>
      <w:tr w:rsidR="00D03D4C" w:rsidTr="00345119">
        <w:tc>
          <w:tcPr>
            <w:tcW w:w="9576" w:type="dxa"/>
          </w:tcPr>
          <w:p w:rsidR="008423E4" w:rsidRPr="00861995" w:rsidRDefault="001171DB" w:rsidP="00345119">
            <w:pPr>
              <w:jc w:val="right"/>
            </w:pPr>
            <w:r>
              <w:t>Ways &amp; Means</w:t>
            </w:r>
          </w:p>
        </w:tc>
      </w:tr>
      <w:tr w:rsidR="00D03D4C" w:rsidTr="00345119">
        <w:tc>
          <w:tcPr>
            <w:tcW w:w="9576" w:type="dxa"/>
          </w:tcPr>
          <w:p w:rsidR="008423E4" w:rsidRDefault="001171D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171DB" w:rsidP="008423E4">
      <w:pPr>
        <w:tabs>
          <w:tab w:val="right" w:pos="9360"/>
        </w:tabs>
      </w:pPr>
    </w:p>
    <w:p w:rsidR="008423E4" w:rsidRDefault="001171DB" w:rsidP="008423E4"/>
    <w:p w:rsidR="008423E4" w:rsidRDefault="001171D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03D4C" w:rsidTr="00345119">
        <w:tc>
          <w:tcPr>
            <w:tcW w:w="9576" w:type="dxa"/>
          </w:tcPr>
          <w:p w:rsidR="008423E4" w:rsidRPr="00A8133F" w:rsidRDefault="001171DB" w:rsidP="0086670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171DB" w:rsidP="00866703"/>
          <w:p w:rsidR="008423E4" w:rsidRDefault="001171DB" w:rsidP="00866703">
            <w:pPr>
              <w:pStyle w:val="Header"/>
              <w:jc w:val="both"/>
            </w:pPr>
            <w:r>
              <w:t>It has been noted that</w:t>
            </w:r>
            <w:r>
              <w:t xml:space="preserve"> </w:t>
            </w:r>
            <w:r>
              <w:t xml:space="preserve">some cities </w:t>
            </w:r>
            <w:r>
              <w:t>in Texas are authorized to receive a rebate of certain state taxes</w:t>
            </w:r>
            <w:r>
              <w:t xml:space="preserve"> </w:t>
            </w:r>
            <w:r>
              <w:t xml:space="preserve">to pay for bonds or other </w:t>
            </w:r>
            <w:r>
              <w:t>obligations incurred by the city for construction of a convention center</w:t>
            </w:r>
            <w:r>
              <w:t xml:space="preserve"> </w:t>
            </w:r>
            <w:r>
              <w:t>hotel and related facilities.</w:t>
            </w:r>
            <w:r>
              <w:t xml:space="preserve"> Furthermore</w:t>
            </w:r>
            <w:r>
              <w:t xml:space="preserve">, </w:t>
            </w:r>
            <w:r>
              <w:t>some</w:t>
            </w:r>
            <w:r>
              <w:t xml:space="preserve"> </w:t>
            </w:r>
            <w:r>
              <w:t xml:space="preserve">cities </w:t>
            </w:r>
            <w:r>
              <w:t>may</w:t>
            </w:r>
            <w:r>
              <w:t xml:space="preserve"> use their</w:t>
            </w:r>
            <w:r>
              <w:t xml:space="preserve"> </w:t>
            </w:r>
            <w:r>
              <w:t>existing occupancy tax revenue to invest in new facilities and related infrastructure under certain</w:t>
            </w:r>
            <w:r>
              <w:t xml:space="preserve"> </w:t>
            </w:r>
            <w:r>
              <w:t>circumstances.</w:t>
            </w:r>
            <w:r>
              <w:t xml:space="preserve"> There have been calls to include some </w:t>
            </w:r>
            <w:r>
              <w:t>cities</w:t>
            </w:r>
            <w:r>
              <w:t xml:space="preserve">, such as Webster, among those with access to these economic development tools. </w:t>
            </w:r>
            <w:r>
              <w:t>C.S.</w:t>
            </w:r>
            <w:r>
              <w:t xml:space="preserve">S.B. 1307 seeks to </w:t>
            </w:r>
            <w:r>
              <w:t xml:space="preserve">heed these calls by </w:t>
            </w:r>
            <w:r>
              <w:t>provid</w:t>
            </w:r>
            <w:r>
              <w:t>ing</w:t>
            </w:r>
            <w:r>
              <w:t xml:space="preserve"> </w:t>
            </w:r>
            <w:r>
              <w:t>certain cities</w:t>
            </w:r>
            <w:r>
              <w:t xml:space="preserve"> with </w:t>
            </w:r>
            <w:r>
              <w:t>the ability to utilize these</w:t>
            </w:r>
            <w:r>
              <w:t xml:space="preserve"> additional economic developme</w:t>
            </w:r>
            <w:r>
              <w:t>nt tool</w:t>
            </w:r>
            <w:r>
              <w:t>s</w:t>
            </w:r>
            <w:r>
              <w:t>.</w:t>
            </w:r>
          </w:p>
          <w:p w:rsidR="008423E4" w:rsidRPr="00E26B13" w:rsidRDefault="001171DB" w:rsidP="00866703">
            <w:pPr>
              <w:rPr>
                <w:b/>
              </w:rPr>
            </w:pPr>
          </w:p>
        </w:tc>
      </w:tr>
      <w:tr w:rsidR="00D03D4C" w:rsidTr="00345119">
        <w:tc>
          <w:tcPr>
            <w:tcW w:w="9576" w:type="dxa"/>
          </w:tcPr>
          <w:p w:rsidR="0017725B" w:rsidRDefault="001171DB" w:rsidP="008667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171DB" w:rsidP="00866703">
            <w:pPr>
              <w:rPr>
                <w:b/>
                <w:u w:val="single"/>
              </w:rPr>
            </w:pPr>
          </w:p>
          <w:p w:rsidR="00974FA3" w:rsidRPr="00974FA3" w:rsidRDefault="001171DB" w:rsidP="0086670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1171DB" w:rsidP="00866703">
            <w:pPr>
              <w:rPr>
                <w:b/>
                <w:u w:val="single"/>
              </w:rPr>
            </w:pPr>
          </w:p>
        </w:tc>
      </w:tr>
      <w:tr w:rsidR="00D03D4C" w:rsidTr="00345119">
        <w:tc>
          <w:tcPr>
            <w:tcW w:w="9576" w:type="dxa"/>
          </w:tcPr>
          <w:p w:rsidR="008423E4" w:rsidRPr="00A8133F" w:rsidRDefault="001171DB" w:rsidP="0086670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171DB" w:rsidP="00866703"/>
          <w:p w:rsidR="00974FA3" w:rsidRDefault="001171DB" w:rsidP="008667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171DB" w:rsidP="00866703">
            <w:pPr>
              <w:rPr>
                <w:b/>
              </w:rPr>
            </w:pPr>
          </w:p>
        </w:tc>
      </w:tr>
      <w:tr w:rsidR="00D03D4C" w:rsidTr="00345119">
        <w:tc>
          <w:tcPr>
            <w:tcW w:w="9576" w:type="dxa"/>
          </w:tcPr>
          <w:p w:rsidR="008423E4" w:rsidRPr="00A8133F" w:rsidRDefault="001171DB" w:rsidP="0086670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171DB" w:rsidP="00866703"/>
          <w:p w:rsidR="00F31F4C" w:rsidRDefault="001171DB" w:rsidP="00866703">
            <w:pPr>
              <w:pStyle w:val="Header"/>
              <w:jc w:val="both"/>
            </w:pPr>
            <w:r>
              <w:t>C.S.S.B. 1307</w:t>
            </w:r>
            <w:r>
              <w:t xml:space="preserve"> amends the Tax Code to </w:t>
            </w:r>
            <w:r>
              <w:t xml:space="preserve">authorize </w:t>
            </w:r>
            <w:r>
              <w:t xml:space="preserve">the following municipalities </w:t>
            </w:r>
            <w:r>
              <w:t>to</w:t>
            </w:r>
            <w:r w:rsidRPr="009D190C">
              <w:t xml:space="preserve"> pledge the revenue derived from </w:t>
            </w:r>
            <w:r>
              <w:t xml:space="preserve">municipal hotel occupancy tax </w:t>
            </w:r>
            <w:r>
              <w:t>from</w:t>
            </w:r>
            <w:r w:rsidRPr="009D190C">
              <w:t xml:space="preserve"> </w:t>
            </w:r>
            <w:r>
              <w:t>certain</w:t>
            </w:r>
            <w:r>
              <w:t xml:space="preserve"> </w:t>
            </w:r>
            <w:r w:rsidRPr="009D190C">
              <w:t>hotel project</w:t>
            </w:r>
            <w:r>
              <w:t>s</w:t>
            </w:r>
            <w:r w:rsidRPr="009D190C">
              <w:t xml:space="preserve"> for the payment of bonds or other obligations issued or incurred to acquire, lease, co</w:t>
            </w:r>
            <w:r w:rsidRPr="009D190C">
              <w:t xml:space="preserve">nstruct, and equip </w:t>
            </w:r>
            <w:r>
              <w:t>such a</w:t>
            </w:r>
            <w:r w:rsidRPr="009D190C">
              <w:t xml:space="preserve"> </w:t>
            </w:r>
            <w:r w:rsidRPr="009D190C">
              <w:t>hotel and any facilities ancillary to the hotel</w:t>
            </w:r>
            <w:r>
              <w:t>:</w:t>
            </w:r>
          </w:p>
          <w:p w:rsidR="00F31F4C" w:rsidRDefault="001171DB" w:rsidP="0086670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 municipality that is primarily located in a county with a population of four million or more and is connected by a bridge to a municipality with a population of less than 2,000 th</w:t>
            </w:r>
            <w:r>
              <w:t>at is located adjacent to a bay connected to the Gulf of Mexico, that is located in a county with a population of 290,000 or more that is adjacent to a county with a population of four million or more, and that has a boardwalk on the bay; and</w:t>
            </w:r>
          </w:p>
          <w:p w:rsidR="00E67DE2" w:rsidRDefault="001171DB" w:rsidP="00656690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municipalit</w:t>
            </w:r>
            <w:r>
              <w:t xml:space="preserve">y </w:t>
            </w:r>
            <w:r w:rsidRPr="003272DF">
              <w:t>with a population of more than 10,000 that is wholly located in a county with a population of four million or more and that has a city hall located less than three miles from a space center operated by an agency of the federal government</w:t>
            </w:r>
            <w:r>
              <w:t xml:space="preserve">. </w:t>
            </w:r>
          </w:p>
          <w:p w:rsidR="00E67DE2" w:rsidRDefault="001171DB" w:rsidP="00866703">
            <w:pPr>
              <w:pStyle w:val="Header"/>
              <w:jc w:val="both"/>
            </w:pPr>
          </w:p>
          <w:p w:rsidR="00E67DE2" w:rsidRDefault="001171DB" w:rsidP="00866703">
            <w:pPr>
              <w:pStyle w:val="Header"/>
              <w:jc w:val="both"/>
            </w:pPr>
            <w:r>
              <w:t>C.S.S.B. 1307</w:t>
            </w:r>
            <w:r>
              <w:t xml:space="preserve"> </w:t>
            </w:r>
            <w:r>
              <w:t>authorizes</w:t>
            </w:r>
            <w:r>
              <w:t xml:space="preserve"> a </w:t>
            </w:r>
            <w:r>
              <w:t xml:space="preserve">municipality </w:t>
            </w:r>
            <w:r w:rsidRPr="003272DF">
              <w:t>with a population of more than 10,000 that is wholly located in a county with a population of four million or more and that has a city hall located less than three miles from a space center operated by an agency of the federal go</w:t>
            </w:r>
            <w:r w:rsidRPr="003272DF">
              <w:t>vernment</w:t>
            </w:r>
            <w:r>
              <w:t xml:space="preserve"> </w:t>
            </w:r>
            <w:r>
              <w:t xml:space="preserve">to use </w:t>
            </w:r>
            <w:r w:rsidRPr="000007A5">
              <w:t xml:space="preserve">revenue from the </w:t>
            </w:r>
            <w:r>
              <w:t xml:space="preserve">municipal </w:t>
            </w:r>
            <w:r w:rsidRPr="000007A5">
              <w:t xml:space="preserve">hotel occupancy tax for the construction, improvement, enlarging, equipping, renovating, repairing, operation, and maintenance of a </w:t>
            </w:r>
            <w:r>
              <w:t xml:space="preserve">venue </w:t>
            </w:r>
            <w:r w:rsidRPr="000007A5">
              <w:t xml:space="preserve">that is related to the promotion of tourism, including a hotel, resort, or </w:t>
            </w:r>
            <w:r w:rsidRPr="000007A5">
              <w:t>convention center facility located on land owned by the municipality or a nonprofit corporation acting on behalf of the municipality.</w:t>
            </w:r>
            <w:r>
              <w:t xml:space="preserve"> The bill</w:t>
            </w:r>
            <w:r>
              <w:t xml:space="preserve"> authorizes such a municipality to </w:t>
            </w:r>
            <w:r w:rsidRPr="00E67DE2">
              <w:t>use revenue from the municipal hotel occupancy tax for related infrastructure</w:t>
            </w:r>
            <w:r>
              <w:t>.</w:t>
            </w:r>
            <w:r>
              <w:t xml:space="preserve"> </w:t>
            </w:r>
            <w:r>
              <w:t xml:space="preserve">The bill requires the municipality to </w:t>
            </w:r>
            <w:r w:rsidRPr="00E67DE2">
              <w:t>determine the amount of venue</w:t>
            </w:r>
            <w:r>
              <w:noBreakHyphen/>
            </w:r>
            <w:r w:rsidRPr="00E67DE2">
              <w:t>related hotel revenue generated during the five-year period following the date the municipality issues a certificate of occupancy to the venue to which the revenue is attributable</w:t>
            </w:r>
            <w:r>
              <w:t xml:space="preserve"> and proh</w:t>
            </w:r>
            <w:r>
              <w:t xml:space="preserve">ibits the municipality from spending </w:t>
            </w:r>
            <w:r w:rsidRPr="00E67DE2">
              <w:t xml:space="preserve">municipal hotel occupancy tax revenue for ancillary infrastructure in a total amount that exceeds the </w:t>
            </w:r>
            <w:r>
              <w:t xml:space="preserve">determined </w:t>
            </w:r>
            <w:r w:rsidRPr="00E67DE2">
              <w:t>amount</w:t>
            </w:r>
            <w:r>
              <w:t xml:space="preserve">. The bill requires the municipality to </w:t>
            </w:r>
            <w:r w:rsidRPr="00E67DE2">
              <w:t>reimburse the municipality's hotel occupancy tax revenue fun</w:t>
            </w:r>
            <w:r w:rsidRPr="00E67DE2">
              <w:t xml:space="preserve">d from another available source for the amount by which the expenditures exceed the </w:t>
            </w:r>
            <w:r>
              <w:t xml:space="preserve">determined </w:t>
            </w:r>
            <w:r w:rsidRPr="00E67DE2">
              <w:t>venue-related hotel revenue</w:t>
            </w:r>
            <w:r>
              <w:t xml:space="preserve">. </w:t>
            </w:r>
          </w:p>
          <w:p w:rsidR="00E67DE2" w:rsidRDefault="001171DB" w:rsidP="00866703">
            <w:pPr>
              <w:pStyle w:val="Header"/>
              <w:jc w:val="both"/>
            </w:pPr>
          </w:p>
          <w:p w:rsidR="008423E4" w:rsidRDefault="001171DB" w:rsidP="00866703">
            <w:pPr>
              <w:pStyle w:val="Header"/>
              <w:jc w:val="both"/>
            </w:pPr>
            <w:r>
              <w:t xml:space="preserve">C.S.S.B. 1307 </w:t>
            </w:r>
            <w:r>
              <w:t>changes</w:t>
            </w:r>
            <w:r w:rsidRPr="00090B3F">
              <w:t xml:space="preserve"> from September 1, 2019, to September 1, 2021, the </w:t>
            </w:r>
            <w:r>
              <w:t xml:space="preserve">date before </w:t>
            </w:r>
            <w:r w:rsidRPr="00090B3F">
              <w:t>which certain municipalities authorized to ple</w:t>
            </w:r>
            <w:r w:rsidRPr="00090B3F">
              <w:t>dge specified funds and municipal hotel occupancy tax revenue for an applicable hotel project must enter into an agreement with a person for the development of the hotel project to be eligible to receive or pledge revenue or funds for the project.</w:t>
            </w:r>
          </w:p>
          <w:p w:rsidR="008423E4" w:rsidRPr="00835628" w:rsidRDefault="001171DB" w:rsidP="00866703">
            <w:pPr>
              <w:rPr>
                <w:b/>
              </w:rPr>
            </w:pPr>
          </w:p>
        </w:tc>
      </w:tr>
      <w:tr w:rsidR="00D03D4C" w:rsidTr="00345119">
        <w:tc>
          <w:tcPr>
            <w:tcW w:w="9576" w:type="dxa"/>
          </w:tcPr>
          <w:p w:rsidR="008423E4" w:rsidRPr="00A8133F" w:rsidRDefault="001171DB" w:rsidP="0086670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171DB" w:rsidP="00866703"/>
          <w:p w:rsidR="008423E4" w:rsidRPr="003624F2" w:rsidRDefault="001171DB" w:rsidP="008667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1171DB" w:rsidP="00866703">
            <w:pPr>
              <w:rPr>
                <w:b/>
              </w:rPr>
            </w:pPr>
          </w:p>
        </w:tc>
      </w:tr>
      <w:tr w:rsidR="00D03D4C" w:rsidTr="00345119">
        <w:tc>
          <w:tcPr>
            <w:tcW w:w="9576" w:type="dxa"/>
          </w:tcPr>
          <w:p w:rsidR="007B3087" w:rsidRDefault="001171DB" w:rsidP="0086670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36037D" w:rsidRDefault="001171DB" w:rsidP="00866703">
            <w:pPr>
              <w:jc w:val="both"/>
            </w:pPr>
          </w:p>
          <w:p w:rsidR="0036037D" w:rsidRDefault="001171DB" w:rsidP="00866703">
            <w:pPr>
              <w:jc w:val="both"/>
            </w:pPr>
            <w:r>
              <w:t>While C.S.S.B. 1307 may differ from the engrossed in minor or nonsubstantive ways, the following summarize</w:t>
            </w:r>
            <w:r>
              <w:t>s the substantial differences between the engrossed and committee substitute versions of the bill.</w:t>
            </w:r>
          </w:p>
          <w:p w:rsidR="0036037D" w:rsidRDefault="001171DB" w:rsidP="00866703">
            <w:pPr>
              <w:jc w:val="both"/>
            </w:pPr>
          </w:p>
          <w:p w:rsidR="0036037D" w:rsidRDefault="001171DB" w:rsidP="00866703">
            <w:pPr>
              <w:jc w:val="both"/>
            </w:pPr>
            <w:r>
              <w:t xml:space="preserve">The substitute </w:t>
            </w:r>
            <w:r>
              <w:t xml:space="preserve">does not include the authorization for </w:t>
            </w:r>
            <w:r w:rsidRPr="00F518B5">
              <w:t>a municipality with a population of more than 10,000 that is wholly located in a county with a populat</w:t>
            </w:r>
            <w:r w:rsidRPr="00F518B5">
              <w:t xml:space="preserve">ion of four million or more and that has a city hall located less than three miles from a space center operated by an agency of the federal government </w:t>
            </w:r>
            <w:r>
              <w:t>to use hotel occupancy tax</w:t>
            </w:r>
            <w:r>
              <w:t xml:space="preserve"> revenue</w:t>
            </w:r>
            <w:r>
              <w:t xml:space="preserve"> </w:t>
            </w:r>
            <w:r w:rsidRPr="000366CA">
              <w:t>for the construction, improvement, enlarging, equipping, renovating, r</w:t>
            </w:r>
            <w:r w:rsidRPr="000366CA">
              <w:t xml:space="preserve">epairing, operation, and maintenance of </w:t>
            </w:r>
            <w:r>
              <w:t>a coliseum or mulituse facility</w:t>
            </w:r>
            <w:r>
              <w:t xml:space="preserve">. </w:t>
            </w:r>
            <w:r>
              <w:t>The substitute includes provisions governing the allocation of revenue for certain venue-related infrastructure in such a municipality.</w:t>
            </w:r>
          </w:p>
          <w:p w:rsidR="0036037D" w:rsidRDefault="001171DB" w:rsidP="00866703">
            <w:pPr>
              <w:jc w:val="both"/>
            </w:pPr>
          </w:p>
          <w:p w:rsidR="0036037D" w:rsidRPr="0036037D" w:rsidRDefault="001171DB" w:rsidP="00866703">
            <w:pPr>
              <w:jc w:val="both"/>
            </w:pPr>
            <w:r>
              <w:t>The substitute includes</w:t>
            </w:r>
            <w:r>
              <w:t xml:space="preserve"> an authorization</w:t>
            </w:r>
            <w:r>
              <w:t xml:space="preserve"> for a municipality that is primarily located in a county with a population of four million or more and is connected by a bridge to a municipality with a population of less than 2,000 that is located adjacent to a bay connected to the Gulf of Mexico, that </w:t>
            </w:r>
            <w:r>
              <w:t xml:space="preserve">is located in a county with a population of 290,000 or more that is adjacent to a county with a population of four million or more, and that has a boardwalk on the bay to </w:t>
            </w:r>
            <w:r w:rsidRPr="009D190C">
              <w:t xml:space="preserve">pledge the revenue derived from </w:t>
            </w:r>
            <w:r>
              <w:t>municipal hotel occupancy tax from</w:t>
            </w:r>
            <w:r w:rsidRPr="009D190C">
              <w:t xml:space="preserve"> </w:t>
            </w:r>
            <w:r>
              <w:t xml:space="preserve">certain </w:t>
            </w:r>
            <w:r w:rsidRPr="009D190C">
              <w:t>hotel proj</w:t>
            </w:r>
            <w:r w:rsidRPr="009D190C">
              <w:t>ect</w:t>
            </w:r>
            <w:r>
              <w:t>s</w:t>
            </w:r>
            <w:r w:rsidRPr="009D190C">
              <w:t xml:space="preserve"> for the payment of bonds or other obligations issued or incurred to acquire, lease, construct, and equip </w:t>
            </w:r>
            <w:r>
              <w:t>such a</w:t>
            </w:r>
            <w:r w:rsidRPr="009D190C">
              <w:t xml:space="preserve"> hotel and any facilities ancillary to the hotel</w:t>
            </w:r>
            <w:r>
              <w:t xml:space="preserve">. </w:t>
            </w:r>
          </w:p>
        </w:tc>
      </w:tr>
    </w:tbl>
    <w:p w:rsidR="008423E4" w:rsidRPr="00BE0E75" w:rsidRDefault="001171D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171D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171DB">
      <w:r>
        <w:separator/>
      </w:r>
    </w:p>
  </w:endnote>
  <w:endnote w:type="continuationSeparator" w:id="0">
    <w:p w:rsidR="00000000" w:rsidRDefault="0011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1D" w:rsidRDefault="001171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03D4C" w:rsidTr="009C1E9A">
      <w:trPr>
        <w:cantSplit/>
      </w:trPr>
      <w:tc>
        <w:tcPr>
          <w:tcW w:w="0" w:type="pct"/>
        </w:tcPr>
        <w:p w:rsidR="00137D90" w:rsidRDefault="001171D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171D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171D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171D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171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03D4C" w:rsidTr="009C1E9A">
      <w:trPr>
        <w:cantSplit/>
      </w:trPr>
      <w:tc>
        <w:tcPr>
          <w:tcW w:w="0" w:type="pct"/>
        </w:tcPr>
        <w:p w:rsidR="00EC379B" w:rsidRDefault="001171D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171D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86R </w:t>
          </w:r>
          <w:r>
            <w:rPr>
              <w:rFonts w:ascii="Shruti" w:hAnsi="Shruti"/>
              <w:sz w:val="22"/>
            </w:rPr>
            <w:t>33952</w:t>
          </w:r>
        </w:p>
      </w:tc>
      <w:tc>
        <w:tcPr>
          <w:tcW w:w="2453" w:type="pct"/>
        </w:tcPr>
        <w:p w:rsidR="00EC379B" w:rsidRDefault="001171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19.135.190</w:t>
          </w:r>
          <w:r>
            <w:fldChar w:fldCharType="end"/>
          </w:r>
        </w:p>
      </w:tc>
    </w:tr>
    <w:tr w:rsidR="00D03D4C" w:rsidTr="009C1E9A">
      <w:trPr>
        <w:cantSplit/>
      </w:trPr>
      <w:tc>
        <w:tcPr>
          <w:tcW w:w="0" w:type="pct"/>
        </w:tcPr>
        <w:p w:rsidR="00EC379B" w:rsidRDefault="001171D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171D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30641</w:t>
          </w:r>
        </w:p>
      </w:tc>
      <w:tc>
        <w:tcPr>
          <w:tcW w:w="2453" w:type="pct"/>
        </w:tcPr>
        <w:p w:rsidR="00EC379B" w:rsidRDefault="001171DB" w:rsidP="006D504F">
          <w:pPr>
            <w:pStyle w:val="Footer"/>
            <w:rPr>
              <w:rStyle w:val="PageNumber"/>
            </w:rPr>
          </w:pPr>
        </w:p>
        <w:p w:rsidR="00EC379B" w:rsidRDefault="001171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03D4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171D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1171D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171D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1D" w:rsidRDefault="00117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171DB">
      <w:r>
        <w:separator/>
      </w:r>
    </w:p>
  </w:footnote>
  <w:footnote w:type="continuationSeparator" w:id="0">
    <w:p w:rsidR="00000000" w:rsidRDefault="0011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1D" w:rsidRDefault="00117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1D" w:rsidRDefault="001171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1D" w:rsidRDefault="001171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6BFB"/>
    <w:multiLevelType w:val="hybridMultilevel"/>
    <w:tmpl w:val="942CDAFA"/>
    <w:lvl w:ilvl="0" w:tplc="37B23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7CEA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F800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AD4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841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42A3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E04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240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7E01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4C"/>
    <w:rsid w:val="001171DB"/>
    <w:rsid w:val="00D0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8DC890-B0B6-4FAC-A142-DB4A49A3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D19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19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190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1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1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4818</Characters>
  <Application>Microsoft Office Word</Application>
  <DocSecurity>4</DocSecurity>
  <Lines>97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SB01307 (Committee Report (Substituted))</vt:lpstr>
    </vt:vector>
  </TitlesOfParts>
  <Company>State of Texas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33952</dc:subject>
  <dc:creator>State of Texas</dc:creator>
  <dc:description>SB 1307 by Taylor-(H)Ways &amp; Means (Substitute Document Number: 86R 30641)</dc:description>
  <cp:lastModifiedBy>Scotty Wimberley</cp:lastModifiedBy>
  <cp:revision>2</cp:revision>
  <cp:lastPrinted>2019-05-14T20:18:00Z</cp:lastPrinted>
  <dcterms:created xsi:type="dcterms:W3CDTF">2019-05-15T17:56:00Z</dcterms:created>
  <dcterms:modified xsi:type="dcterms:W3CDTF">2019-05-15T17:56:00Z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19.135.190</vt:lpwstr>
  </property>
</Properties>
</file>