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4663C" w:rsidTr="00345119">
        <w:tc>
          <w:tcPr>
            <w:tcW w:w="9576" w:type="dxa"/>
            <w:noWrap/>
          </w:tcPr>
          <w:p w:rsidR="008423E4" w:rsidRPr="0022177D" w:rsidRDefault="006E220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E220E" w:rsidP="008423E4">
      <w:pPr>
        <w:jc w:val="center"/>
      </w:pPr>
    </w:p>
    <w:p w:rsidR="008423E4" w:rsidRPr="00B31F0E" w:rsidRDefault="006E220E" w:rsidP="008423E4"/>
    <w:p w:rsidR="008423E4" w:rsidRPr="00742794" w:rsidRDefault="006E220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663C" w:rsidTr="00345119">
        <w:tc>
          <w:tcPr>
            <w:tcW w:w="9576" w:type="dxa"/>
          </w:tcPr>
          <w:p w:rsidR="008423E4" w:rsidRPr="00861995" w:rsidRDefault="006E220E" w:rsidP="00345119">
            <w:pPr>
              <w:jc w:val="right"/>
            </w:pPr>
            <w:r>
              <w:t>S.B. 1312</w:t>
            </w:r>
          </w:p>
        </w:tc>
      </w:tr>
      <w:tr w:rsidR="00C4663C" w:rsidTr="00345119">
        <w:tc>
          <w:tcPr>
            <w:tcW w:w="9576" w:type="dxa"/>
          </w:tcPr>
          <w:p w:rsidR="008423E4" w:rsidRPr="00861995" w:rsidRDefault="006E220E" w:rsidP="00345119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C4663C" w:rsidTr="00345119">
        <w:tc>
          <w:tcPr>
            <w:tcW w:w="9576" w:type="dxa"/>
          </w:tcPr>
          <w:p w:rsidR="008423E4" w:rsidRPr="00861995" w:rsidRDefault="006E220E" w:rsidP="00345119">
            <w:pPr>
              <w:jc w:val="right"/>
            </w:pPr>
            <w:r>
              <w:t>Agriculture &amp; Livestock</w:t>
            </w:r>
          </w:p>
        </w:tc>
      </w:tr>
      <w:tr w:rsidR="00C4663C" w:rsidTr="00345119">
        <w:tc>
          <w:tcPr>
            <w:tcW w:w="9576" w:type="dxa"/>
          </w:tcPr>
          <w:p w:rsidR="008423E4" w:rsidRDefault="006E220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E220E" w:rsidP="008423E4">
      <w:pPr>
        <w:tabs>
          <w:tab w:val="right" w:pos="9360"/>
        </w:tabs>
      </w:pPr>
    </w:p>
    <w:p w:rsidR="008423E4" w:rsidRDefault="006E220E" w:rsidP="008423E4"/>
    <w:p w:rsidR="008423E4" w:rsidRDefault="006E220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4663C" w:rsidTr="00345119">
        <w:tc>
          <w:tcPr>
            <w:tcW w:w="9576" w:type="dxa"/>
          </w:tcPr>
          <w:p w:rsidR="008423E4" w:rsidRPr="00A8133F" w:rsidRDefault="006E220E" w:rsidP="00800EE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E220E" w:rsidP="00800EE8"/>
          <w:p w:rsidR="008423E4" w:rsidRDefault="006E220E" w:rsidP="00800EE8">
            <w:pPr>
              <w:pStyle w:val="Header"/>
              <w:jc w:val="both"/>
            </w:pPr>
            <w:r>
              <w:t xml:space="preserve">It has been </w:t>
            </w:r>
            <w:r>
              <w:t xml:space="preserve">reported </w:t>
            </w:r>
            <w:r>
              <w:t>that there is</w:t>
            </w:r>
            <w:r>
              <w:t xml:space="preserve"> a critical need for the state to assist the border region to better address current and emerging public health threats</w:t>
            </w:r>
            <w:r>
              <w:t>, such as</w:t>
            </w:r>
            <w:r>
              <w:t xml:space="preserve"> zoonotic diseases or</w:t>
            </w:r>
            <w:r>
              <w:t xml:space="preserve"> </w:t>
            </w:r>
            <w:r w:rsidRPr="00727017">
              <w:t xml:space="preserve">vector-borne </w:t>
            </w:r>
            <w:r>
              <w:t>diseases which are transmitted by mosquitos</w:t>
            </w:r>
            <w:r>
              <w:t>.</w:t>
            </w:r>
            <w:r>
              <w:t xml:space="preserve"> It has been noted that these health threats are </w:t>
            </w:r>
            <w:r>
              <w:t xml:space="preserve">exacerbated </w:t>
            </w:r>
            <w:r>
              <w:t xml:space="preserve">by issues in the region </w:t>
            </w:r>
            <w:r>
              <w:t>such as</w:t>
            </w:r>
            <w:r>
              <w:t xml:space="preserve"> a</w:t>
            </w:r>
            <w:r>
              <w:t xml:space="preserve"> lack of licensed mosquito control applicators</w:t>
            </w:r>
            <w:r>
              <w:t>,</w:t>
            </w:r>
            <w:r>
              <w:t xml:space="preserve"> </w:t>
            </w:r>
            <w:r>
              <w:t>t</w:t>
            </w:r>
            <w:r>
              <w:t xml:space="preserve">he constant inflow of vectors from Mexico, </w:t>
            </w:r>
            <w:r>
              <w:t>t</w:t>
            </w:r>
            <w:r>
              <w:t>he prevalence of illegal dumping</w:t>
            </w:r>
            <w:r>
              <w:t>, and</w:t>
            </w:r>
            <w:r>
              <w:t xml:space="preserve"> </w:t>
            </w:r>
            <w:r>
              <w:t xml:space="preserve">a </w:t>
            </w:r>
            <w:r>
              <w:t>lack of resources and tax base</w:t>
            </w:r>
            <w:r>
              <w:t>.</w:t>
            </w:r>
            <w:r>
              <w:t xml:space="preserve"> </w:t>
            </w:r>
            <w:r>
              <w:t xml:space="preserve">S.B. 1312 seeks to address these </w:t>
            </w:r>
            <w:r>
              <w:t>issues</w:t>
            </w:r>
            <w:r>
              <w:t xml:space="preserve"> by </w:t>
            </w:r>
            <w:r>
              <w:t>set</w:t>
            </w:r>
            <w:r>
              <w:t xml:space="preserve">ting out provisions relating to a </w:t>
            </w:r>
            <w:r w:rsidRPr="00DD6B79">
              <w:t>noncommercial applicator license for mosquito control in border counties</w:t>
            </w:r>
            <w:r>
              <w:t xml:space="preserve"> and </w:t>
            </w:r>
            <w:r>
              <w:t xml:space="preserve">relating to </w:t>
            </w:r>
            <w:r w:rsidRPr="00DD6B79">
              <w:t>vector-borne and zoonotic disease mitigation in border counties</w:t>
            </w:r>
            <w:r>
              <w:t>.</w:t>
            </w:r>
          </w:p>
          <w:p w:rsidR="008423E4" w:rsidRPr="00E26B13" w:rsidRDefault="006E220E" w:rsidP="00800EE8">
            <w:pPr>
              <w:rPr>
                <w:b/>
              </w:rPr>
            </w:pPr>
          </w:p>
        </w:tc>
      </w:tr>
      <w:tr w:rsidR="00C4663C" w:rsidTr="00345119">
        <w:tc>
          <w:tcPr>
            <w:tcW w:w="9576" w:type="dxa"/>
          </w:tcPr>
          <w:p w:rsidR="0017725B" w:rsidRDefault="006E220E" w:rsidP="00800E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E220E" w:rsidP="00800EE8">
            <w:pPr>
              <w:rPr>
                <w:b/>
                <w:u w:val="single"/>
              </w:rPr>
            </w:pPr>
          </w:p>
          <w:p w:rsidR="00E30214" w:rsidRPr="00E30214" w:rsidRDefault="006E220E" w:rsidP="00800EE8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E220E" w:rsidP="00800EE8">
            <w:pPr>
              <w:rPr>
                <w:b/>
                <w:u w:val="single"/>
              </w:rPr>
            </w:pPr>
          </w:p>
        </w:tc>
      </w:tr>
      <w:tr w:rsidR="00C4663C" w:rsidTr="00345119">
        <w:tc>
          <w:tcPr>
            <w:tcW w:w="9576" w:type="dxa"/>
          </w:tcPr>
          <w:p w:rsidR="008423E4" w:rsidRPr="00A8133F" w:rsidRDefault="006E220E" w:rsidP="00800EE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E220E" w:rsidP="00800EE8"/>
          <w:p w:rsidR="00E30214" w:rsidRDefault="006E220E" w:rsidP="00800E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E30214">
              <w:t>Department of Agriculture</w:t>
            </w:r>
            <w:r>
              <w:t xml:space="preserve"> in SECTION 1 of this bill.</w:t>
            </w:r>
          </w:p>
          <w:p w:rsidR="008423E4" w:rsidRPr="00E21FDC" w:rsidRDefault="006E220E" w:rsidP="00800EE8">
            <w:pPr>
              <w:rPr>
                <w:b/>
              </w:rPr>
            </w:pPr>
          </w:p>
        </w:tc>
      </w:tr>
      <w:tr w:rsidR="00C4663C" w:rsidTr="00345119">
        <w:tc>
          <w:tcPr>
            <w:tcW w:w="9576" w:type="dxa"/>
          </w:tcPr>
          <w:p w:rsidR="008423E4" w:rsidRPr="00A8133F" w:rsidRDefault="006E220E" w:rsidP="00800EE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E220E" w:rsidP="00800EE8"/>
          <w:p w:rsidR="008423E4" w:rsidRDefault="006E220E" w:rsidP="00800E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1312 amends the Agriculture Code to require the </w:t>
            </w:r>
            <w:r w:rsidRPr="00E30214">
              <w:t>Department of Agriculture</w:t>
            </w:r>
            <w:r>
              <w:t xml:space="preserve"> (TDA) by rule to </w:t>
            </w:r>
            <w:r w:rsidRPr="00E30214">
              <w:t xml:space="preserve">provide </w:t>
            </w:r>
            <w:r w:rsidRPr="00E30214">
              <w:t>for the issuance of a noncommercial applicator license that authorizes a person to purchase and use restricted-use and state-limited-use pesticides for the limited purpose of mosquito control in a county located along the international bor</w:t>
            </w:r>
            <w:r>
              <w:t>der with Mexico</w:t>
            </w:r>
            <w:r>
              <w:t xml:space="preserve">. </w:t>
            </w:r>
            <w:r>
              <w:t>The bill requires the TDA</w:t>
            </w:r>
            <w:r>
              <w:t xml:space="preserve">, to the extent practicable, to </w:t>
            </w:r>
            <w:r w:rsidRPr="00E30214">
              <w:t>minimize the fees and other requirements to obtain the license.</w:t>
            </w:r>
            <w:r>
              <w:t xml:space="preserve"> The bill authorizes a person to apply to the TDA for </w:t>
            </w:r>
            <w:r w:rsidRPr="00E30214">
              <w:t>an original or renewal license</w:t>
            </w:r>
            <w:r>
              <w:t xml:space="preserve"> and requires </w:t>
            </w:r>
            <w:r>
              <w:t>a</w:t>
            </w:r>
            <w:r>
              <w:t xml:space="preserve"> person to apply </w:t>
            </w:r>
            <w:r w:rsidRPr="00E30214">
              <w:t xml:space="preserve">on forms prescribed </w:t>
            </w:r>
            <w:r w:rsidRPr="00E30214">
              <w:t xml:space="preserve">by the </w:t>
            </w:r>
            <w:r>
              <w:t>TDA</w:t>
            </w:r>
            <w:r w:rsidRPr="00E30214">
              <w:t xml:space="preserve"> and include a fee </w:t>
            </w:r>
            <w:r>
              <w:t>in an amount determined by the TDA</w:t>
            </w:r>
            <w:r w:rsidRPr="00E30214">
              <w:t>.</w:t>
            </w:r>
            <w:r>
              <w:t xml:space="preserve"> The bill requires the TDA to </w:t>
            </w:r>
            <w:r w:rsidRPr="00E30214">
              <w:t xml:space="preserve">issue a license to an applicant who meets the license requirements provided by </w:t>
            </w:r>
            <w:r>
              <w:t>TDA</w:t>
            </w:r>
            <w:r w:rsidRPr="00E30214">
              <w:t xml:space="preserve"> rule.</w:t>
            </w:r>
            <w:r>
              <w:t xml:space="preserve"> The bill authorizes the TDA to </w:t>
            </w:r>
            <w:r w:rsidRPr="00E30214">
              <w:t>solicit and accept gifts, grants, and dona</w:t>
            </w:r>
            <w:r w:rsidRPr="00E30214">
              <w:t>tions to implement and administer</w:t>
            </w:r>
            <w:r>
              <w:t xml:space="preserve"> these provisions</w:t>
            </w:r>
            <w:r>
              <w:t xml:space="preserve"> of the bill and</w:t>
            </w:r>
            <w:r>
              <w:t xml:space="preserve"> requires the TDA to </w:t>
            </w:r>
            <w:r w:rsidRPr="00E30214">
              <w:t>coordinate with appropriate federal agencies, state agencies, nonprofit organizations, public and private hospitals, institutions of higher education, and private entiti</w:t>
            </w:r>
            <w:r w:rsidRPr="00E30214">
              <w:t>es in identifying and soliciting funding to implement and administer</w:t>
            </w:r>
            <w:r>
              <w:t xml:space="preserve"> </w:t>
            </w:r>
            <w:r>
              <w:t>such</w:t>
            </w:r>
            <w:r>
              <w:t xml:space="preserve"> provisions. </w:t>
            </w:r>
          </w:p>
          <w:p w:rsidR="00E30214" w:rsidRDefault="006E220E" w:rsidP="00800E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D2747" w:rsidRDefault="006E220E" w:rsidP="00800EE8">
            <w:pPr>
              <w:pStyle w:val="Header"/>
              <w:jc w:val="both"/>
            </w:pPr>
            <w:r>
              <w:t xml:space="preserve">S.B. 1312 amends the Health and Safety Code to require the </w:t>
            </w:r>
            <w:r w:rsidRPr="00E30214">
              <w:t>Department of State Health Services (DSHS)</w:t>
            </w:r>
            <w:r>
              <w:t xml:space="preserve">, to address </w:t>
            </w:r>
            <w:r>
              <w:t>v</w:t>
            </w:r>
            <w:r w:rsidRPr="00E30214">
              <w:t>ector-borne and zoonotic diseases and standardize pra</w:t>
            </w:r>
            <w:r w:rsidRPr="00E30214">
              <w:t>ctices in counties located along the international border with Mexico,</w:t>
            </w:r>
            <w:r>
              <w:t xml:space="preserve"> to:</w:t>
            </w:r>
          </w:p>
          <w:p w:rsidR="00596B0A" w:rsidRDefault="006E220E" w:rsidP="00800EE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consult with the </w:t>
            </w:r>
            <w:r>
              <w:t>TDA</w:t>
            </w:r>
            <w:r>
              <w:t xml:space="preserve"> and other appr</w:t>
            </w:r>
            <w:r>
              <w:t>opriate state agencies to study</w:t>
            </w:r>
            <w:r>
              <w:t xml:space="preserve">: </w:t>
            </w:r>
          </w:p>
          <w:p w:rsidR="00596B0A" w:rsidRDefault="006E220E" w:rsidP="00800EE8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the ongoing and potential needs of border counties related to vec</w:t>
            </w:r>
            <w:r>
              <w:t>tor-borne and zoonotic diseases;</w:t>
            </w:r>
            <w:r>
              <w:t xml:space="preserve"> </w:t>
            </w:r>
          </w:p>
          <w:p w:rsidR="00596B0A" w:rsidRDefault="006E220E" w:rsidP="00800EE8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the availability of and capacity for vector mitigation and control, including increased staffing, equipment, education, and training; and </w:t>
            </w:r>
          </w:p>
          <w:p w:rsidR="002D2747" w:rsidRDefault="006E220E" w:rsidP="00800EE8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strategies to improve or develop continuing education and public outreach initiatives for vector-borne and zoonotic d</w:t>
            </w:r>
            <w:r>
              <w:t>isease prevention, including sanitation, removal of standing water, use of repellant, and reporting to health authorities of rashes and other symptoms of vector-borne and zoonotic diseases;</w:t>
            </w:r>
          </w:p>
          <w:p w:rsidR="002D2747" w:rsidRDefault="006E220E" w:rsidP="00800EE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develop rapid local and regional response and support plans for on</w:t>
            </w:r>
            <w:r>
              <w:t>going vector-borne and zoonotic disease control activities and</w:t>
            </w:r>
            <w:r>
              <w:t xml:space="preserve"> for</w:t>
            </w:r>
            <w:r>
              <w:t xml:space="preserve"> disasters, including flooding, hurricanes, and outbreaks of vector-borne diseases; and</w:t>
            </w:r>
          </w:p>
          <w:p w:rsidR="002D2747" w:rsidRDefault="006E220E" w:rsidP="00800EE8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perform any administrative actions necessary to address the findings from the study and to implement </w:t>
            </w:r>
            <w:r>
              <w:t>any appropriate strategies developed</w:t>
            </w:r>
            <w:r>
              <w:t xml:space="preserve"> under these provisions of the bill</w:t>
            </w:r>
            <w:r>
              <w:t>.</w:t>
            </w:r>
          </w:p>
          <w:p w:rsidR="00C7073B" w:rsidRDefault="006E220E" w:rsidP="00800EE8">
            <w:pPr>
              <w:pStyle w:val="Header"/>
              <w:jc w:val="both"/>
            </w:pPr>
          </w:p>
          <w:p w:rsidR="002D2747" w:rsidRDefault="006E220E" w:rsidP="00800EE8">
            <w:pPr>
              <w:pStyle w:val="Header"/>
              <w:jc w:val="both"/>
            </w:pPr>
            <w:r>
              <w:t xml:space="preserve">S.B. 1312 </w:t>
            </w:r>
            <w:r w:rsidRPr="00596B0A">
              <w:t>authorizes</w:t>
            </w:r>
            <w:r>
              <w:t xml:space="preserve"> DSHS to </w:t>
            </w:r>
            <w:r w:rsidRPr="002D2747">
              <w:t>solicit and accept gifts, grants, and donations to implement and administer</w:t>
            </w:r>
            <w:r>
              <w:t xml:space="preserve"> these provisions</w:t>
            </w:r>
            <w:r>
              <w:t xml:space="preserve"> of the bill and</w:t>
            </w:r>
            <w:r>
              <w:t xml:space="preserve"> requires DSHS to </w:t>
            </w:r>
            <w:r w:rsidRPr="002D2747">
              <w:t>coordinate with appropriate</w:t>
            </w:r>
            <w:r w:rsidRPr="002D2747">
              <w:t xml:space="preserve"> federal agencies, state agencies, nonprofit organizations, public and private hospitals, institutions of higher education, and private entities in implementing and administering</w:t>
            </w:r>
            <w:r>
              <w:t xml:space="preserve"> </w:t>
            </w:r>
            <w:r>
              <w:t>such</w:t>
            </w:r>
            <w:r>
              <w:t xml:space="preserve"> provisions.   </w:t>
            </w:r>
          </w:p>
          <w:p w:rsidR="008423E4" w:rsidRPr="00835628" w:rsidRDefault="006E220E" w:rsidP="00800EE8">
            <w:pPr>
              <w:rPr>
                <w:b/>
              </w:rPr>
            </w:pPr>
          </w:p>
        </w:tc>
      </w:tr>
      <w:tr w:rsidR="00C4663C" w:rsidTr="00345119">
        <w:tc>
          <w:tcPr>
            <w:tcW w:w="9576" w:type="dxa"/>
          </w:tcPr>
          <w:p w:rsidR="008423E4" w:rsidRPr="00A8133F" w:rsidRDefault="006E220E" w:rsidP="00800EE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E220E" w:rsidP="00800EE8"/>
          <w:p w:rsidR="008423E4" w:rsidRPr="003624F2" w:rsidRDefault="006E220E" w:rsidP="00800E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</w:t>
            </w:r>
            <w:r>
              <w:t>eceive the necessary vote, September 1, 2019.</w:t>
            </w:r>
          </w:p>
          <w:p w:rsidR="008423E4" w:rsidRPr="00233FDB" w:rsidRDefault="006E220E" w:rsidP="00800EE8">
            <w:pPr>
              <w:rPr>
                <w:b/>
              </w:rPr>
            </w:pPr>
          </w:p>
        </w:tc>
      </w:tr>
    </w:tbl>
    <w:p w:rsidR="008423E4" w:rsidRPr="00BE0E75" w:rsidRDefault="006E220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E220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220E">
      <w:r>
        <w:separator/>
      </w:r>
    </w:p>
  </w:endnote>
  <w:endnote w:type="continuationSeparator" w:id="0">
    <w:p w:rsidR="00000000" w:rsidRDefault="006E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2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663C" w:rsidTr="009C1E9A">
      <w:trPr>
        <w:cantSplit/>
      </w:trPr>
      <w:tc>
        <w:tcPr>
          <w:tcW w:w="0" w:type="pct"/>
        </w:tcPr>
        <w:p w:rsidR="00137D90" w:rsidRDefault="006E22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E22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E22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E22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E22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663C" w:rsidTr="009C1E9A">
      <w:trPr>
        <w:cantSplit/>
      </w:trPr>
      <w:tc>
        <w:tcPr>
          <w:tcW w:w="0" w:type="pct"/>
        </w:tcPr>
        <w:p w:rsidR="00EC379B" w:rsidRDefault="006E22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E22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32597</w:t>
          </w:r>
        </w:p>
      </w:tc>
      <w:tc>
        <w:tcPr>
          <w:tcW w:w="2453" w:type="pct"/>
        </w:tcPr>
        <w:p w:rsidR="00EC379B" w:rsidRDefault="006E22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19.128.708</w:t>
          </w:r>
          <w:r>
            <w:fldChar w:fldCharType="end"/>
          </w:r>
        </w:p>
      </w:tc>
    </w:tr>
    <w:tr w:rsidR="00C4663C" w:rsidTr="009C1E9A">
      <w:trPr>
        <w:cantSplit/>
      </w:trPr>
      <w:tc>
        <w:tcPr>
          <w:tcW w:w="0" w:type="pct"/>
        </w:tcPr>
        <w:p w:rsidR="00EC379B" w:rsidRDefault="006E22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E22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E220E" w:rsidP="006D504F">
          <w:pPr>
            <w:pStyle w:val="Footer"/>
            <w:rPr>
              <w:rStyle w:val="PageNumber"/>
            </w:rPr>
          </w:pPr>
        </w:p>
        <w:p w:rsidR="00EC379B" w:rsidRDefault="006E22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663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E22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E220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E220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2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220E">
      <w:r>
        <w:separator/>
      </w:r>
    </w:p>
  </w:footnote>
  <w:footnote w:type="continuationSeparator" w:id="0">
    <w:p w:rsidR="00000000" w:rsidRDefault="006E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2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2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2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7D14"/>
    <w:multiLevelType w:val="hybridMultilevel"/>
    <w:tmpl w:val="7E586CD8"/>
    <w:lvl w:ilvl="0" w:tplc="578CF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88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69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A0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C5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BC9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09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05C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A4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215C6"/>
    <w:multiLevelType w:val="hybridMultilevel"/>
    <w:tmpl w:val="E898B67E"/>
    <w:lvl w:ilvl="0" w:tplc="EC5E94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912AA1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542F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9030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C667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A2D3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9C9B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883E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EA26E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35424"/>
    <w:multiLevelType w:val="hybridMultilevel"/>
    <w:tmpl w:val="50E6127C"/>
    <w:lvl w:ilvl="0" w:tplc="13E23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8E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B06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CB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8D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D25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23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A2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67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E4752"/>
    <w:multiLevelType w:val="hybridMultilevel"/>
    <w:tmpl w:val="8FB6D584"/>
    <w:lvl w:ilvl="0" w:tplc="A79A4E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C7CBD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C08C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E4DA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7845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9D602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E048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3C52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FC232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97339F"/>
    <w:multiLevelType w:val="hybridMultilevel"/>
    <w:tmpl w:val="11C07692"/>
    <w:lvl w:ilvl="0" w:tplc="007272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70C5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8258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7A40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E8A9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5AB2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52A1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F547C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630A0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3C"/>
    <w:rsid w:val="006E220E"/>
    <w:rsid w:val="00C4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1D0E13-ADEA-41A2-9B34-973FCBC2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302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0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02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0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0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3617</Characters>
  <Application>Microsoft Office Word</Application>
  <DocSecurity>4</DocSecurity>
  <Lines>77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SB01312 (Committee Report (Unamended))</vt:lpstr>
    </vt:vector>
  </TitlesOfParts>
  <Company>State of Texas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32597</dc:subject>
  <dc:creator>State of Texas</dc:creator>
  <dc:description>SB 1312 by Lucio-(H)Agriculture &amp; Livestock</dc:description>
  <cp:lastModifiedBy>Erin Conway</cp:lastModifiedBy>
  <cp:revision>2</cp:revision>
  <cp:lastPrinted>2003-11-26T17:21:00Z</cp:lastPrinted>
  <dcterms:created xsi:type="dcterms:W3CDTF">2019-05-09T20:11:00Z</dcterms:created>
  <dcterms:modified xsi:type="dcterms:W3CDTF">2019-05-09T20:11:00Z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19.128.708</vt:lpwstr>
  </property>
</Properties>
</file>