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43007" w:rsidTr="00345119">
        <w:tc>
          <w:tcPr>
            <w:tcW w:w="9576" w:type="dxa"/>
            <w:noWrap/>
          </w:tcPr>
          <w:p w:rsidR="008423E4" w:rsidRPr="0022177D" w:rsidRDefault="0073587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587C" w:rsidP="008423E4">
      <w:pPr>
        <w:jc w:val="center"/>
      </w:pPr>
    </w:p>
    <w:p w:rsidR="008423E4" w:rsidRPr="00B31F0E" w:rsidRDefault="0073587C" w:rsidP="008423E4"/>
    <w:p w:rsidR="008423E4" w:rsidRPr="00742794" w:rsidRDefault="0073587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3007" w:rsidTr="00345119">
        <w:tc>
          <w:tcPr>
            <w:tcW w:w="9576" w:type="dxa"/>
          </w:tcPr>
          <w:p w:rsidR="008423E4" w:rsidRPr="00861995" w:rsidRDefault="0073587C" w:rsidP="00345119">
            <w:pPr>
              <w:jc w:val="right"/>
            </w:pPr>
            <w:r>
              <w:t>S.B. 1319</w:t>
            </w:r>
          </w:p>
        </w:tc>
      </w:tr>
      <w:tr w:rsidR="00E43007" w:rsidTr="00345119">
        <w:tc>
          <w:tcPr>
            <w:tcW w:w="9576" w:type="dxa"/>
          </w:tcPr>
          <w:p w:rsidR="008423E4" w:rsidRPr="00861995" w:rsidRDefault="0073587C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E43007" w:rsidTr="00345119">
        <w:tc>
          <w:tcPr>
            <w:tcW w:w="9576" w:type="dxa"/>
          </w:tcPr>
          <w:p w:rsidR="008423E4" w:rsidRPr="00861995" w:rsidRDefault="0073587C" w:rsidP="00345119">
            <w:pPr>
              <w:jc w:val="right"/>
            </w:pPr>
            <w:r>
              <w:t>Ways &amp; Means</w:t>
            </w:r>
          </w:p>
        </w:tc>
      </w:tr>
      <w:tr w:rsidR="00E43007" w:rsidTr="00345119">
        <w:tc>
          <w:tcPr>
            <w:tcW w:w="9576" w:type="dxa"/>
          </w:tcPr>
          <w:p w:rsidR="008423E4" w:rsidRDefault="0073587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587C" w:rsidP="008423E4">
      <w:pPr>
        <w:tabs>
          <w:tab w:val="right" w:pos="9360"/>
        </w:tabs>
      </w:pPr>
    </w:p>
    <w:p w:rsidR="008423E4" w:rsidRDefault="0073587C" w:rsidP="008423E4"/>
    <w:p w:rsidR="008423E4" w:rsidRDefault="0073587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43007" w:rsidTr="00345119">
        <w:tc>
          <w:tcPr>
            <w:tcW w:w="9576" w:type="dxa"/>
          </w:tcPr>
          <w:p w:rsidR="008423E4" w:rsidRPr="00A8133F" w:rsidRDefault="0073587C" w:rsidP="00516E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587C" w:rsidP="00516E24"/>
          <w:p w:rsidR="008423E4" w:rsidRDefault="0073587C" w:rsidP="00516E24">
            <w:pPr>
              <w:pStyle w:val="Header"/>
              <w:jc w:val="both"/>
            </w:pPr>
            <w:r>
              <w:t>It has been noted that</w:t>
            </w:r>
            <w:r>
              <w:t xml:space="preserve"> municipalities levy</w:t>
            </w:r>
            <w:r>
              <w:t>ing</w:t>
            </w:r>
            <w:r>
              <w:t xml:space="preserve"> a hotel occupancy tax are required to annually report certain information about the collection and use of that tax to the </w:t>
            </w:r>
            <w:r>
              <w:t>c</w:t>
            </w:r>
            <w:r>
              <w:t xml:space="preserve">omptroller of </w:t>
            </w:r>
            <w:r>
              <w:t>p</w:t>
            </w:r>
            <w:r>
              <w:t xml:space="preserve">ublic </w:t>
            </w:r>
            <w:r>
              <w:t>a</w:t>
            </w:r>
            <w:r>
              <w:t>ccounts.</w:t>
            </w:r>
            <w:r>
              <w:t xml:space="preserve"> However, there are concerns that n</w:t>
            </w:r>
            <w:r>
              <w:t>o such requirement exists for counties</w:t>
            </w:r>
            <w:r>
              <w:t>, which ha</w:t>
            </w:r>
            <w:r>
              <w:t>ve</w:t>
            </w:r>
            <w:r>
              <w:t xml:space="preserve"> led to calls </w:t>
            </w:r>
            <w:r>
              <w:t xml:space="preserve">to </w:t>
            </w:r>
            <w:r>
              <w:t>increase transparency around the hotel occupancy tax</w:t>
            </w:r>
            <w:r>
              <w:t xml:space="preserve"> by requiring counties imposing the tax to report similar information.</w:t>
            </w:r>
            <w:r>
              <w:t xml:space="preserve"> S.B. 1319 </w:t>
            </w:r>
            <w:r>
              <w:t>seeks to address this issue by requiring counties that impose certain hotel occupancy taxes to submit an annual report to t</w:t>
            </w:r>
            <w:r>
              <w:t>he comptroller</w:t>
            </w:r>
            <w:r>
              <w:t>.</w:t>
            </w:r>
          </w:p>
          <w:p w:rsidR="008423E4" w:rsidRPr="00E26B13" w:rsidRDefault="0073587C" w:rsidP="00516E24">
            <w:pPr>
              <w:rPr>
                <w:b/>
              </w:rPr>
            </w:pPr>
          </w:p>
        </w:tc>
      </w:tr>
      <w:tr w:rsidR="00E43007" w:rsidTr="00345119">
        <w:tc>
          <w:tcPr>
            <w:tcW w:w="9576" w:type="dxa"/>
          </w:tcPr>
          <w:p w:rsidR="0017725B" w:rsidRDefault="0073587C" w:rsidP="00516E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587C" w:rsidP="00516E24">
            <w:pPr>
              <w:rPr>
                <w:b/>
                <w:u w:val="single"/>
              </w:rPr>
            </w:pPr>
          </w:p>
          <w:p w:rsidR="002023F7" w:rsidRPr="002023F7" w:rsidRDefault="0073587C" w:rsidP="00516E2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73587C" w:rsidP="00516E24">
            <w:pPr>
              <w:rPr>
                <w:b/>
                <w:u w:val="single"/>
              </w:rPr>
            </w:pPr>
          </w:p>
        </w:tc>
      </w:tr>
      <w:tr w:rsidR="00E43007" w:rsidTr="00345119">
        <w:tc>
          <w:tcPr>
            <w:tcW w:w="9576" w:type="dxa"/>
          </w:tcPr>
          <w:p w:rsidR="008423E4" w:rsidRPr="00A8133F" w:rsidRDefault="0073587C" w:rsidP="00516E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587C" w:rsidP="00516E24"/>
          <w:p w:rsidR="002023F7" w:rsidRDefault="0073587C" w:rsidP="00516E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comptroller of public accounts in SECTION 1 of this bill.</w:t>
            </w:r>
          </w:p>
          <w:p w:rsidR="008423E4" w:rsidRPr="00E21FDC" w:rsidRDefault="0073587C" w:rsidP="00516E24">
            <w:pPr>
              <w:rPr>
                <w:b/>
              </w:rPr>
            </w:pPr>
          </w:p>
        </w:tc>
      </w:tr>
      <w:tr w:rsidR="00E43007" w:rsidTr="00345119">
        <w:tc>
          <w:tcPr>
            <w:tcW w:w="9576" w:type="dxa"/>
          </w:tcPr>
          <w:p w:rsidR="008423E4" w:rsidRPr="00A8133F" w:rsidRDefault="0073587C" w:rsidP="00516E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587C" w:rsidP="00516E24"/>
          <w:p w:rsidR="00E450D5" w:rsidRDefault="0073587C" w:rsidP="00516E24">
            <w:pPr>
              <w:pStyle w:val="Header"/>
              <w:jc w:val="both"/>
            </w:pPr>
            <w:r>
              <w:t xml:space="preserve">S.B. 1319 amends the Tax Code to require a county that imposes a county hotel occupancy tax to report to the comptroller of public accounts not later than February 20 of each year: </w:t>
            </w:r>
          </w:p>
          <w:p w:rsidR="00E450D5" w:rsidRDefault="0073587C" w:rsidP="00516E2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rate of the tax imposed by the county;</w:t>
            </w:r>
          </w:p>
          <w:p w:rsidR="00E450D5" w:rsidRDefault="0073587C" w:rsidP="00516E2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rate of the hotel occupancy</w:t>
            </w:r>
            <w:r>
              <w:t xml:space="preserve"> tax imposed by the county for purposes of funding sports and community venues, if applicable; and</w:t>
            </w:r>
          </w:p>
          <w:p w:rsidR="00E450D5" w:rsidRDefault="0073587C" w:rsidP="00516E2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amount of revenue collected during the county's preceding fiscal year from those taxes. </w:t>
            </w:r>
          </w:p>
          <w:p w:rsidR="008423E4" w:rsidRDefault="0073587C" w:rsidP="00516E24">
            <w:pPr>
              <w:pStyle w:val="Header"/>
              <w:spacing w:before="120" w:after="120"/>
              <w:jc w:val="both"/>
            </w:pPr>
            <w:r>
              <w:t xml:space="preserve">The bill requires the county to make the report by </w:t>
            </w:r>
            <w:r>
              <w:t>submitting th</w:t>
            </w:r>
            <w:r>
              <w:t>e report to the comptroller on a form prescribed by the comptroller or providing the comptroller a direct link to, or a clear statement describing the location of, the information required to be reported that is posted on the county's website. The bill req</w:t>
            </w:r>
            <w:r>
              <w:t>uires the comptroller, not later than January 1, 2020, to prescribe the form a county must use for the report and authorizes the comptroller to adopt rules to administer the bill's provisions. The bill requires a county to submit the initial report or othe</w:t>
            </w:r>
            <w:r>
              <w:t xml:space="preserve">rwise provide the initial information not later than February 20, 2020. </w:t>
            </w:r>
          </w:p>
          <w:p w:rsidR="008423E4" w:rsidRPr="00835628" w:rsidRDefault="0073587C" w:rsidP="00516E24">
            <w:pPr>
              <w:rPr>
                <w:b/>
              </w:rPr>
            </w:pPr>
          </w:p>
        </w:tc>
      </w:tr>
      <w:tr w:rsidR="00E43007" w:rsidTr="00345119">
        <w:tc>
          <w:tcPr>
            <w:tcW w:w="9576" w:type="dxa"/>
          </w:tcPr>
          <w:p w:rsidR="008423E4" w:rsidRPr="00A8133F" w:rsidRDefault="0073587C" w:rsidP="00516E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587C" w:rsidP="00516E24"/>
          <w:p w:rsidR="008423E4" w:rsidRPr="003624F2" w:rsidRDefault="0073587C" w:rsidP="00516E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3587C" w:rsidP="00516E24">
            <w:pPr>
              <w:rPr>
                <w:b/>
              </w:rPr>
            </w:pPr>
          </w:p>
        </w:tc>
      </w:tr>
    </w:tbl>
    <w:p w:rsidR="008423E4" w:rsidRPr="00BE0E75" w:rsidRDefault="0073587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587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587C">
      <w:r>
        <w:separator/>
      </w:r>
    </w:p>
  </w:endnote>
  <w:endnote w:type="continuationSeparator" w:id="0">
    <w:p w:rsidR="00000000" w:rsidRDefault="007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3007" w:rsidTr="009C1E9A">
      <w:trPr>
        <w:cantSplit/>
      </w:trPr>
      <w:tc>
        <w:tcPr>
          <w:tcW w:w="0" w:type="pct"/>
        </w:tcPr>
        <w:p w:rsidR="00137D90" w:rsidRDefault="007358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58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58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58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58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3007" w:rsidTr="009C1E9A">
      <w:trPr>
        <w:cantSplit/>
      </w:trPr>
      <w:tc>
        <w:tcPr>
          <w:tcW w:w="0" w:type="pct"/>
        </w:tcPr>
        <w:p w:rsidR="00EC379B" w:rsidRDefault="007358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58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30344</w:t>
          </w:r>
        </w:p>
      </w:tc>
      <w:tc>
        <w:tcPr>
          <w:tcW w:w="2453" w:type="pct"/>
        </w:tcPr>
        <w:p w:rsidR="00EC379B" w:rsidRDefault="007358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19.119.101</w:t>
          </w:r>
          <w:r>
            <w:fldChar w:fldCharType="end"/>
          </w:r>
        </w:p>
      </w:tc>
    </w:tr>
    <w:tr w:rsidR="00E43007" w:rsidTr="009C1E9A">
      <w:trPr>
        <w:cantSplit/>
      </w:trPr>
      <w:tc>
        <w:tcPr>
          <w:tcW w:w="0" w:type="pct"/>
        </w:tcPr>
        <w:p w:rsidR="00EC379B" w:rsidRDefault="007358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58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587C" w:rsidP="006D504F">
          <w:pPr>
            <w:pStyle w:val="Footer"/>
            <w:rPr>
              <w:rStyle w:val="PageNumber"/>
            </w:rPr>
          </w:pPr>
        </w:p>
        <w:p w:rsidR="00EC379B" w:rsidRDefault="007358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30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58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587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587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587C">
      <w:r>
        <w:separator/>
      </w:r>
    </w:p>
  </w:footnote>
  <w:footnote w:type="continuationSeparator" w:id="0">
    <w:p w:rsidR="00000000" w:rsidRDefault="0073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7D0A"/>
    <w:multiLevelType w:val="hybridMultilevel"/>
    <w:tmpl w:val="76B20300"/>
    <w:lvl w:ilvl="0" w:tplc="39B0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2F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41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42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CF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85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9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3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E6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07"/>
    <w:rsid w:val="0073587C"/>
    <w:rsid w:val="00E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1325EA-E5E9-4202-BB10-EB08757C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7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8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1961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SB01319 (Committee Report (Unamended))</vt:lpstr>
    </vt:vector>
  </TitlesOfParts>
  <Company>State of Texas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30344</dc:subject>
  <dc:creator>State of Texas</dc:creator>
  <dc:description>SB 1319 by Birdwell-(H)Ways &amp; Means</dc:description>
  <cp:lastModifiedBy>Scotty Wimberley</cp:lastModifiedBy>
  <cp:revision>2</cp:revision>
  <cp:lastPrinted>2003-11-26T17:21:00Z</cp:lastPrinted>
  <dcterms:created xsi:type="dcterms:W3CDTF">2019-05-07T15:27:00Z</dcterms:created>
  <dcterms:modified xsi:type="dcterms:W3CDTF">2019-05-07T15:27:00Z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19.119.101</vt:lpwstr>
  </property>
</Properties>
</file>