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272921" w:rsidTr="00345119">
        <w:tc>
          <w:tcPr>
            <w:tcW w:w="9576" w:type="dxa"/>
            <w:noWrap/>
          </w:tcPr>
          <w:p w:rsidR="008423E4" w:rsidRPr="0022177D" w:rsidRDefault="00BF4A6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F4A65" w:rsidP="008423E4">
      <w:pPr>
        <w:jc w:val="center"/>
      </w:pPr>
    </w:p>
    <w:p w:rsidR="008423E4" w:rsidRPr="00B31F0E" w:rsidRDefault="00BF4A65" w:rsidP="008423E4"/>
    <w:p w:rsidR="008423E4" w:rsidRPr="00742794" w:rsidRDefault="00BF4A6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72921" w:rsidTr="00345119">
        <w:tc>
          <w:tcPr>
            <w:tcW w:w="9576" w:type="dxa"/>
          </w:tcPr>
          <w:p w:rsidR="008423E4" w:rsidRPr="00861995" w:rsidRDefault="00BF4A65" w:rsidP="00345119">
            <w:pPr>
              <w:jc w:val="right"/>
            </w:pPr>
            <w:r>
              <w:t>S.B. 1331</w:t>
            </w:r>
          </w:p>
        </w:tc>
      </w:tr>
      <w:tr w:rsidR="00272921" w:rsidTr="00345119">
        <w:tc>
          <w:tcPr>
            <w:tcW w:w="9576" w:type="dxa"/>
          </w:tcPr>
          <w:p w:rsidR="008423E4" w:rsidRPr="00861995" w:rsidRDefault="00BF4A65" w:rsidP="00345119">
            <w:pPr>
              <w:jc w:val="right"/>
            </w:pPr>
            <w:r>
              <w:t xml:space="preserve">By: </w:t>
            </w:r>
            <w:r>
              <w:t>Hinojosa</w:t>
            </w:r>
          </w:p>
        </w:tc>
      </w:tr>
      <w:tr w:rsidR="00272921" w:rsidTr="00345119">
        <w:tc>
          <w:tcPr>
            <w:tcW w:w="9576" w:type="dxa"/>
          </w:tcPr>
          <w:p w:rsidR="008423E4" w:rsidRPr="00861995" w:rsidRDefault="00BF4A65" w:rsidP="00345119">
            <w:pPr>
              <w:jc w:val="right"/>
            </w:pPr>
            <w:r>
              <w:t>Homeland Security &amp; Public Safety</w:t>
            </w:r>
          </w:p>
        </w:tc>
      </w:tr>
      <w:tr w:rsidR="00272921" w:rsidTr="00345119">
        <w:tc>
          <w:tcPr>
            <w:tcW w:w="9576" w:type="dxa"/>
          </w:tcPr>
          <w:p w:rsidR="008423E4" w:rsidRDefault="00BF4A6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F4A65" w:rsidP="008423E4">
      <w:pPr>
        <w:tabs>
          <w:tab w:val="right" w:pos="9360"/>
        </w:tabs>
      </w:pPr>
    </w:p>
    <w:p w:rsidR="008423E4" w:rsidRDefault="00BF4A65" w:rsidP="008423E4"/>
    <w:p w:rsidR="008423E4" w:rsidRDefault="00BF4A6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272921" w:rsidTr="00345119">
        <w:tc>
          <w:tcPr>
            <w:tcW w:w="9576" w:type="dxa"/>
          </w:tcPr>
          <w:p w:rsidR="008423E4" w:rsidRPr="00A8133F" w:rsidRDefault="00BF4A65" w:rsidP="00DA01F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F4A65" w:rsidP="00DA01F4"/>
          <w:p w:rsidR="008423E4" w:rsidRDefault="00BF4A65" w:rsidP="00DA01F4">
            <w:pPr>
              <w:pStyle w:val="Header"/>
              <w:jc w:val="both"/>
            </w:pPr>
            <w:r>
              <w:t xml:space="preserve">It has been suggested that state law governing </w:t>
            </w:r>
            <w:r>
              <w:t xml:space="preserve">the </w:t>
            </w:r>
            <w:r>
              <w:t xml:space="preserve">Texas </w:t>
            </w:r>
            <w:r>
              <w:t>Forensic Science Commission</w:t>
            </w:r>
            <w:r>
              <w:t>, wh</w:t>
            </w:r>
            <w:r>
              <w:t>ose duties include</w:t>
            </w:r>
            <w:r>
              <w:t xml:space="preserve"> accrediting entities that conduct forensic analysis, licensing </w:t>
            </w:r>
            <w:r>
              <w:t>forensic</w:t>
            </w:r>
            <w:r>
              <w:t xml:space="preserve"> examiners, and investigating allegatio</w:t>
            </w:r>
            <w:r>
              <w:t>ns of professional negligence and</w:t>
            </w:r>
            <w:r>
              <w:t xml:space="preserve"> misconduct in forensic science,</w:t>
            </w:r>
            <w:r>
              <w:t xml:space="preserve"> does not align </w:t>
            </w:r>
            <w:r>
              <w:t xml:space="preserve">with </w:t>
            </w:r>
            <w:r>
              <w:t xml:space="preserve">state </w:t>
            </w:r>
            <w:r>
              <w:t>law</w:t>
            </w:r>
            <w:r>
              <w:t xml:space="preserve"> governing </w:t>
            </w:r>
            <w:r>
              <w:t xml:space="preserve">other judicial branch </w:t>
            </w:r>
            <w:r>
              <w:t xml:space="preserve">state </w:t>
            </w:r>
            <w:r>
              <w:t>agencies th</w:t>
            </w:r>
            <w:r>
              <w:t xml:space="preserve">at perform </w:t>
            </w:r>
            <w:r>
              <w:t xml:space="preserve">similar </w:t>
            </w:r>
            <w:r>
              <w:t>licensing functions</w:t>
            </w:r>
            <w:r>
              <w:t>, particularly with regard to the regulation of conduct, complaint investigation, and background checks for license applicants</w:t>
            </w:r>
            <w:r>
              <w:t>.</w:t>
            </w:r>
            <w:r>
              <w:t xml:space="preserve"> S.B. 1331 seeks to bring state law governing the commission more in line with other simila</w:t>
            </w:r>
            <w:r>
              <w:t>r judicial branch state agencies in these regards.</w:t>
            </w:r>
          </w:p>
          <w:p w:rsidR="008423E4" w:rsidRPr="00E26B13" w:rsidRDefault="00BF4A65" w:rsidP="00DA01F4">
            <w:pPr>
              <w:rPr>
                <w:b/>
              </w:rPr>
            </w:pPr>
          </w:p>
        </w:tc>
      </w:tr>
      <w:tr w:rsidR="00272921" w:rsidTr="00345119">
        <w:tc>
          <w:tcPr>
            <w:tcW w:w="9576" w:type="dxa"/>
          </w:tcPr>
          <w:p w:rsidR="0017725B" w:rsidRDefault="00BF4A65" w:rsidP="00DA01F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F4A65" w:rsidP="00DA01F4">
            <w:pPr>
              <w:rPr>
                <w:b/>
                <w:u w:val="single"/>
              </w:rPr>
            </w:pPr>
          </w:p>
          <w:p w:rsidR="0003623A" w:rsidRPr="0003623A" w:rsidRDefault="00BF4A65" w:rsidP="00DA01F4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</w:t>
            </w:r>
            <w:r>
              <w:t>ange the eligibility of a person for community supervision, parole, or mandatory supervision.</w:t>
            </w:r>
          </w:p>
          <w:p w:rsidR="0017725B" w:rsidRPr="0017725B" w:rsidRDefault="00BF4A65" w:rsidP="00DA01F4">
            <w:pPr>
              <w:rPr>
                <w:b/>
                <w:u w:val="single"/>
              </w:rPr>
            </w:pPr>
          </w:p>
        </w:tc>
      </w:tr>
      <w:tr w:rsidR="00272921" w:rsidTr="00345119">
        <w:tc>
          <w:tcPr>
            <w:tcW w:w="9576" w:type="dxa"/>
          </w:tcPr>
          <w:p w:rsidR="008423E4" w:rsidRPr="00A8133F" w:rsidRDefault="00BF4A65" w:rsidP="00DA01F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F4A65" w:rsidP="00DA01F4"/>
          <w:p w:rsidR="0003623A" w:rsidRDefault="00BF4A65" w:rsidP="00DA01F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Texas Forensic Science Commission in SECTIONS 2 and 4</w:t>
            </w:r>
            <w:r>
              <w:t xml:space="preserve"> of this bill.</w:t>
            </w:r>
          </w:p>
          <w:p w:rsidR="008423E4" w:rsidRPr="00E21FDC" w:rsidRDefault="00BF4A65" w:rsidP="00DA01F4">
            <w:pPr>
              <w:rPr>
                <w:b/>
              </w:rPr>
            </w:pPr>
          </w:p>
        </w:tc>
      </w:tr>
      <w:tr w:rsidR="00272921" w:rsidTr="00345119">
        <w:tc>
          <w:tcPr>
            <w:tcW w:w="9576" w:type="dxa"/>
          </w:tcPr>
          <w:p w:rsidR="008423E4" w:rsidRPr="00A8133F" w:rsidRDefault="00BF4A65" w:rsidP="00DA01F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F4A65" w:rsidP="00DA01F4"/>
          <w:p w:rsidR="008423E4" w:rsidRDefault="00BF4A65" w:rsidP="00DA01F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1331 amends the Code of Criminal Procedure to require the Texas Forensic Science Commission to </w:t>
            </w:r>
            <w:r w:rsidRPr="00214714">
              <w:t xml:space="preserve">adopt a code of professional responsibility to regulate the conduct of persons, laboratories, facilities, and other entities regulated </w:t>
            </w:r>
            <w:r>
              <w:t xml:space="preserve">by the commission. The bill requires </w:t>
            </w:r>
            <w:r>
              <w:t>the commission</w:t>
            </w:r>
            <w:r>
              <w:t xml:space="preserve"> to do the following:</w:t>
            </w:r>
          </w:p>
          <w:p w:rsidR="00214714" w:rsidRDefault="00BF4A65" w:rsidP="00DA01F4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publish the code;</w:t>
            </w:r>
          </w:p>
          <w:p w:rsidR="00214714" w:rsidRDefault="00BF4A65" w:rsidP="00DA01F4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adopt rules establishing sanct</w:t>
            </w:r>
            <w:r>
              <w:t>ions for code violations; and</w:t>
            </w:r>
          </w:p>
          <w:p w:rsidR="00214714" w:rsidRDefault="00BF4A65" w:rsidP="00DA01F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update the code as necessary to reflect changes in science, technology, or other factors affecting </w:t>
            </w:r>
            <w:r>
              <w:t>the</w:t>
            </w:r>
            <w:r>
              <w:t xml:space="preserve"> persons and</w:t>
            </w:r>
            <w:r>
              <w:t xml:space="preserve"> entities regulated by the commission.</w:t>
            </w:r>
          </w:p>
          <w:p w:rsidR="00B04407" w:rsidRDefault="00BF4A65" w:rsidP="00DA01F4">
            <w:pPr>
              <w:pStyle w:val="Header"/>
              <w:tabs>
                <w:tab w:val="left" w:pos="5220"/>
              </w:tabs>
              <w:spacing w:before="120" w:after="120"/>
              <w:jc w:val="both"/>
            </w:pPr>
          </w:p>
          <w:p w:rsidR="00A1572D" w:rsidRDefault="00BF4A65" w:rsidP="00DA01F4">
            <w:pPr>
              <w:pStyle w:val="Header"/>
              <w:tabs>
                <w:tab w:val="left" w:pos="5220"/>
              </w:tabs>
              <w:spacing w:before="120" w:after="120"/>
              <w:jc w:val="both"/>
            </w:pPr>
            <w:r>
              <w:t>S.B. 1331</w:t>
            </w:r>
            <w:r>
              <w:t xml:space="preserve"> requires the commission to </w:t>
            </w:r>
            <w:r w:rsidRPr="00A1572D">
              <w:t>investigate</w:t>
            </w:r>
            <w:r w:rsidRPr="00A1572D">
              <w:t xml:space="preserve"> in a </w:t>
            </w:r>
            <w:r>
              <w:t>timely manner</w:t>
            </w:r>
            <w:r>
              <w:t xml:space="preserve"> any </w:t>
            </w:r>
            <w:r>
              <w:t xml:space="preserve">allegation of </w:t>
            </w:r>
            <w:r w:rsidRPr="00A1572D">
              <w:t xml:space="preserve">professional negligence or professional misconduct that would substantially </w:t>
            </w:r>
            <w:r>
              <w:t xml:space="preserve">affect the integrity of </w:t>
            </w:r>
            <w:r>
              <w:t>the following:</w:t>
            </w:r>
          </w:p>
          <w:p w:rsidR="00A1572D" w:rsidRDefault="00BF4A65" w:rsidP="00DA01F4">
            <w:pPr>
              <w:pStyle w:val="Header"/>
              <w:numPr>
                <w:ilvl w:val="0"/>
                <w:numId w:val="2"/>
              </w:numPr>
              <w:tabs>
                <w:tab w:val="left" w:pos="5220"/>
              </w:tabs>
              <w:spacing w:before="120" w:after="120"/>
              <w:jc w:val="both"/>
            </w:pPr>
            <w:r>
              <w:t>a</w:t>
            </w:r>
            <w:r>
              <w:t xml:space="preserve"> </w:t>
            </w:r>
            <w:r>
              <w:t xml:space="preserve">certain </w:t>
            </w:r>
            <w:r>
              <w:t>forensic examination or test</w:t>
            </w:r>
            <w:r>
              <w:t>, as specified by the bill,</w:t>
            </w:r>
            <w:r>
              <w:t xml:space="preserve"> </w:t>
            </w:r>
            <w:r>
              <w:t xml:space="preserve">that is conducted by a crime laboratory and that is </w:t>
            </w:r>
            <w:r>
              <w:t>not subje</w:t>
            </w:r>
            <w:r>
              <w:t xml:space="preserve">ct to accreditation; or </w:t>
            </w:r>
          </w:p>
          <w:p w:rsidR="00214714" w:rsidRDefault="00BF4A65" w:rsidP="00DA01F4">
            <w:pPr>
              <w:pStyle w:val="Header"/>
              <w:numPr>
                <w:ilvl w:val="0"/>
                <w:numId w:val="2"/>
              </w:numPr>
              <w:tabs>
                <w:tab w:val="left" w:pos="5220"/>
              </w:tabs>
              <w:spacing w:before="120" w:after="120"/>
              <w:jc w:val="both"/>
            </w:pPr>
            <w:r>
              <w:t>testimony related to such an examination or test or a forensic analysis conducted by a crime laboratory.</w:t>
            </w:r>
          </w:p>
          <w:p w:rsidR="00C30666" w:rsidRDefault="00BF4A65" w:rsidP="00DA01F4">
            <w:pPr>
              <w:pStyle w:val="Header"/>
              <w:tabs>
                <w:tab w:val="left" w:pos="5220"/>
              </w:tabs>
              <w:spacing w:before="120" w:after="120"/>
              <w:jc w:val="both"/>
            </w:pPr>
            <w:r>
              <w:t xml:space="preserve">The bill revises the </w:t>
            </w:r>
            <w:r>
              <w:t>authorization for</w:t>
            </w:r>
            <w:r>
              <w:t xml:space="preserve"> the commission to initiate an investigation of a forensic analysis without receiving a </w:t>
            </w:r>
            <w:r>
              <w:t>complain</w:t>
            </w:r>
            <w:r>
              <w:t>t</w:t>
            </w:r>
            <w:r>
              <w:t xml:space="preserve"> </w:t>
            </w:r>
            <w:r>
              <w:t>alleging</w:t>
            </w:r>
            <w:r w:rsidRPr="00C30666">
              <w:t xml:space="preserve"> professional negligence or professional misconduct</w:t>
            </w:r>
            <w:r>
              <w:t xml:space="preserve"> after making a certain determination</w:t>
            </w:r>
            <w:r>
              <w:t xml:space="preserve"> </w:t>
            </w:r>
            <w:r>
              <w:t>by</w:t>
            </w:r>
            <w:r>
              <w:t xml:space="preserve"> remov</w:t>
            </w:r>
            <w:r>
              <w:t>ing</w:t>
            </w:r>
            <w:r>
              <w:t xml:space="preserve"> the </w:t>
            </w:r>
            <w:r>
              <w:t>condition</w:t>
            </w:r>
            <w:r>
              <w:t xml:space="preserve"> that the investigation be </w:t>
            </w:r>
            <w:r>
              <w:t>initiated</w:t>
            </w:r>
            <w:r>
              <w:t xml:space="preserve"> for educational purposes and </w:t>
            </w:r>
            <w:r>
              <w:t>by</w:t>
            </w:r>
            <w:r>
              <w:t xml:space="preserve"> </w:t>
            </w:r>
            <w:r>
              <w:t>expanding th</w:t>
            </w:r>
            <w:r>
              <w:t>e</w:t>
            </w:r>
            <w:r>
              <w:t xml:space="preserve"> </w:t>
            </w:r>
            <w:r>
              <w:t>authoriz</w:t>
            </w:r>
            <w:r>
              <w:t>ation</w:t>
            </w:r>
            <w:r>
              <w:t xml:space="preserve"> </w:t>
            </w:r>
            <w:r>
              <w:t xml:space="preserve">to include </w:t>
            </w:r>
            <w:r>
              <w:t xml:space="preserve">an investigation </w:t>
            </w:r>
            <w:r>
              <w:t>of</w:t>
            </w:r>
            <w:r>
              <w:t xml:space="preserve"> such a forensic examination or test</w:t>
            </w:r>
            <w:r>
              <w:t xml:space="preserve"> not subject to accreditation</w:t>
            </w:r>
            <w:r>
              <w:t>.</w:t>
            </w:r>
            <w:r>
              <w:t xml:space="preserve"> </w:t>
            </w:r>
            <w:r>
              <w:t xml:space="preserve">The bill includes such an examination or test in the scope of </w:t>
            </w:r>
            <w:r>
              <w:t>p</w:t>
            </w:r>
            <w:r>
              <w:t>rovisions authorizing the inclusion of a certain written report i</w:t>
            </w:r>
            <w:r>
              <w:t>n a commission</w:t>
            </w:r>
            <w:r>
              <w:t xml:space="preserve"> investigation. </w:t>
            </w:r>
          </w:p>
          <w:p w:rsidR="00B04407" w:rsidRDefault="00BF4A65" w:rsidP="00DA01F4">
            <w:pPr>
              <w:pStyle w:val="Header"/>
              <w:tabs>
                <w:tab w:val="left" w:pos="5220"/>
              </w:tabs>
              <w:spacing w:before="120" w:after="120"/>
              <w:jc w:val="both"/>
            </w:pPr>
          </w:p>
          <w:p w:rsidR="00A1572D" w:rsidRDefault="00BF4A65" w:rsidP="00DA01F4">
            <w:pPr>
              <w:pStyle w:val="Header"/>
              <w:tabs>
                <w:tab w:val="left" w:pos="5220"/>
              </w:tabs>
              <w:spacing w:before="120" w:after="120"/>
              <w:jc w:val="both"/>
            </w:pPr>
            <w:r>
              <w:t xml:space="preserve">S.B. 1331 </w:t>
            </w:r>
            <w:r>
              <w:t>requires</w:t>
            </w:r>
            <w:r>
              <w:t xml:space="preserve"> the qualifications for a forensic analyst license </w:t>
            </w:r>
            <w:r>
              <w:t>established by commission rule to include</w:t>
            </w:r>
            <w:r>
              <w:t xml:space="preserve"> minimum </w:t>
            </w:r>
            <w:r w:rsidRPr="00C46644">
              <w:t>standards for character and fitness, including consideration of an applicant's criminal history and any other information that may indicate whether</w:t>
            </w:r>
            <w:r w:rsidRPr="00C46644">
              <w:t xml:space="preserve"> the person possesses the requisite honesty, trustworthiness, or integrity to be a license holder</w:t>
            </w:r>
            <w:r>
              <w:t>.</w:t>
            </w:r>
            <w:r>
              <w:t xml:space="preserve"> </w:t>
            </w:r>
            <w:r>
              <w:t xml:space="preserve">The bill </w:t>
            </w:r>
            <w:r>
              <w:t xml:space="preserve">specifies that the forensic disciplines </w:t>
            </w:r>
            <w:r>
              <w:t xml:space="preserve">not subject to accreditation </w:t>
            </w:r>
            <w:r>
              <w:t>for which the commission by rule may establish voluntary licensing programs are</w:t>
            </w:r>
            <w:r>
              <w:t xml:space="preserve"> forensic examinations or tests not subject to accreditation</w:t>
            </w:r>
            <w:r>
              <w:t>. The bill</w:t>
            </w:r>
            <w:r>
              <w:t xml:space="preserve"> </w:t>
            </w:r>
            <w:r>
              <w:t xml:space="preserve">authorizes the commission to establish standards </w:t>
            </w:r>
            <w:r w:rsidRPr="00BF112D">
              <w:t xml:space="preserve">to improve the quality of forensic analyses conducted in </w:t>
            </w:r>
            <w:r>
              <w:t>Texas as part of the crime laboratory accreditation process</w:t>
            </w:r>
            <w:r>
              <w:t xml:space="preserve"> and</w:t>
            </w:r>
            <w:r w:rsidRPr="0086521E">
              <w:t xml:space="preserve"> authorizes the </w:t>
            </w:r>
            <w:r w:rsidRPr="0086521E">
              <w:t>commission to delegate by contract certain duties relating to that</w:t>
            </w:r>
            <w:r>
              <w:t xml:space="preserve"> accreditation process to any person </w:t>
            </w:r>
            <w:r>
              <w:t>it</w:t>
            </w:r>
            <w:r>
              <w:t xml:space="preserve"> determines to be qualified to assume those duties.</w:t>
            </w:r>
          </w:p>
          <w:p w:rsidR="008423E4" w:rsidRPr="00835628" w:rsidRDefault="00BF4A65" w:rsidP="00DA01F4">
            <w:pPr>
              <w:rPr>
                <w:b/>
              </w:rPr>
            </w:pPr>
          </w:p>
        </w:tc>
      </w:tr>
      <w:tr w:rsidR="00272921" w:rsidTr="00345119">
        <w:tc>
          <w:tcPr>
            <w:tcW w:w="9576" w:type="dxa"/>
          </w:tcPr>
          <w:p w:rsidR="008423E4" w:rsidRPr="00A8133F" w:rsidRDefault="00BF4A65" w:rsidP="00DA01F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F4A65" w:rsidP="00DA01F4"/>
          <w:p w:rsidR="008423E4" w:rsidRPr="003624F2" w:rsidRDefault="00BF4A65" w:rsidP="00DA01F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BF4A65" w:rsidP="00DA01F4">
            <w:pPr>
              <w:rPr>
                <w:b/>
              </w:rPr>
            </w:pPr>
          </w:p>
        </w:tc>
      </w:tr>
    </w:tbl>
    <w:p w:rsidR="008423E4" w:rsidRPr="00BE0E75" w:rsidRDefault="00BF4A6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F4A65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F4A65">
      <w:r>
        <w:separator/>
      </w:r>
    </w:p>
  </w:endnote>
  <w:endnote w:type="continuationSeparator" w:id="0">
    <w:p w:rsidR="00000000" w:rsidRDefault="00BF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F4A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72921" w:rsidTr="009C1E9A">
      <w:trPr>
        <w:cantSplit/>
      </w:trPr>
      <w:tc>
        <w:tcPr>
          <w:tcW w:w="0" w:type="pct"/>
        </w:tcPr>
        <w:p w:rsidR="00137D90" w:rsidRDefault="00BF4A6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F4A6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F4A6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F4A6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F4A6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72921" w:rsidTr="009C1E9A">
      <w:trPr>
        <w:cantSplit/>
      </w:trPr>
      <w:tc>
        <w:tcPr>
          <w:tcW w:w="0" w:type="pct"/>
        </w:tcPr>
        <w:p w:rsidR="00EC379B" w:rsidRDefault="00BF4A6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F4A6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33700</w:t>
          </w:r>
        </w:p>
      </w:tc>
      <w:tc>
        <w:tcPr>
          <w:tcW w:w="2453" w:type="pct"/>
        </w:tcPr>
        <w:p w:rsidR="00EC379B" w:rsidRDefault="00BF4A6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19.134.50</w:t>
          </w:r>
          <w:r>
            <w:fldChar w:fldCharType="end"/>
          </w:r>
        </w:p>
      </w:tc>
    </w:tr>
    <w:tr w:rsidR="00272921" w:rsidTr="009C1E9A">
      <w:trPr>
        <w:cantSplit/>
      </w:trPr>
      <w:tc>
        <w:tcPr>
          <w:tcW w:w="0" w:type="pct"/>
        </w:tcPr>
        <w:p w:rsidR="00EC379B" w:rsidRDefault="00BF4A6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F4A6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F4A65" w:rsidP="006D504F">
          <w:pPr>
            <w:pStyle w:val="Footer"/>
            <w:rPr>
              <w:rStyle w:val="PageNumber"/>
            </w:rPr>
          </w:pPr>
        </w:p>
        <w:p w:rsidR="00EC379B" w:rsidRDefault="00BF4A6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7292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F4A6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BF4A6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F4A6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F4A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F4A65">
      <w:r>
        <w:separator/>
      </w:r>
    </w:p>
  </w:footnote>
  <w:footnote w:type="continuationSeparator" w:id="0">
    <w:p w:rsidR="00000000" w:rsidRDefault="00BF4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F4A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F4A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F4A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92549"/>
    <w:multiLevelType w:val="hybridMultilevel"/>
    <w:tmpl w:val="548608DC"/>
    <w:lvl w:ilvl="0" w:tplc="F03855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1AB1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727D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04C7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A14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76BF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3054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B852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4AC5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35ABC"/>
    <w:multiLevelType w:val="hybridMultilevel"/>
    <w:tmpl w:val="307211B0"/>
    <w:lvl w:ilvl="0" w:tplc="390AB7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A6A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0AC2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C4D6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E646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D025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DCCF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C61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B44A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21"/>
    <w:rsid w:val="00272921"/>
    <w:rsid w:val="00B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BDABD3E-54CD-49DF-BCD8-BC96E371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1572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57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572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57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3290</Characters>
  <Application>Microsoft Office Word</Application>
  <DocSecurity>4</DocSecurity>
  <Lines>75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SB01331 (Committee Report (Unamended))</vt:lpstr>
    </vt:vector>
  </TitlesOfParts>
  <Company>State of Texas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33700</dc:subject>
  <dc:creator>State of Texas</dc:creator>
  <dc:description>SB 1331 by Hinojosa-(H)Homeland Security &amp; Public Safety</dc:description>
  <cp:lastModifiedBy>Scotty Wimberley</cp:lastModifiedBy>
  <cp:revision>2</cp:revision>
  <cp:lastPrinted>2003-11-26T17:21:00Z</cp:lastPrinted>
  <dcterms:created xsi:type="dcterms:W3CDTF">2019-05-16T21:05:00Z</dcterms:created>
  <dcterms:modified xsi:type="dcterms:W3CDTF">2019-05-16T21:05:00Z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19.134.50</vt:lpwstr>
  </property>
</Properties>
</file>