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17112" w:rsidTr="00345119">
        <w:tc>
          <w:tcPr>
            <w:tcW w:w="9576" w:type="dxa"/>
            <w:noWrap/>
          </w:tcPr>
          <w:p w:rsidR="008423E4" w:rsidRPr="0022177D" w:rsidRDefault="00264450" w:rsidP="00345119">
            <w:pPr>
              <w:pStyle w:val="Heading1"/>
            </w:pPr>
            <w:bookmarkStart w:id="0" w:name="_GoBack"/>
            <w:bookmarkEnd w:id="0"/>
            <w:r w:rsidRPr="00631897">
              <w:t>BILL ANALYSIS</w:t>
            </w:r>
          </w:p>
        </w:tc>
      </w:tr>
    </w:tbl>
    <w:p w:rsidR="008423E4" w:rsidRPr="0022177D" w:rsidRDefault="00264450" w:rsidP="008423E4">
      <w:pPr>
        <w:jc w:val="center"/>
      </w:pPr>
    </w:p>
    <w:p w:rsidR="008423E4" w:rsidRPr="00B31F0E" w:rsidRDefault="00264450" w:rsidP="008423E4"/>
    <w:p w:rsidR="008423E4" w:rsidRPr="00742794" w:rsidRDefault="00264450" w:rsidP="008423E4">
      <w:pPr>
        <w:tabs>
          <w:tab w:val="right" w:pos="9360"/>
        </w:tabs>
      </w:pPr>
    </w:p>
    <w:tbl>
      <w:tblPr>
        <w:tblW w:w="0" w:type="auto"/>
        <w:tblLayout w:type="fixed"/>
        <w:tblLook w:val="01E0" w:firstRow="1" w:lastRow="1" w:firstColumn="1" w:lastColumn="1" w:noHBand="0" w:noVBand="0"/>
      </w:tblPr>
      <w:tblGrid>
        <w:gridCol w:w="9576"/>
      </w:tblGrid>
      <w:tr w:rsidR="00017112" w:rsidTr="00345119">
        <w:tc>
          <w:tcPr>
            <w:tcW w:w="9576" w:type="dxa"/>
          </w:tcPr>
          <w:p w:rsidR="008423E4" w:rsidRPr="00861995" w:rsidRDefault="00264450" w:rsidP="00345119">
            <w:pPr>
              <w:jc w:val="right"/>
            </w:pPr>
            <w:r>
              <w:t>C.S.S.B. 1337</w:t>
            </w:r>
          </w:p>
        </w:tc>
      </w:tr>
      <w:tr w:rsidR="00017112" w:rsidTr="00345119">
        <w:tc>
          <w:tcPr>
            <w:tcW w:w="9576" w:type="dxa"/>
          </w:tcPr>
          <w:p w:rsidR="008423E4" w:rsidRPr="00861995" w:rsidRDefault="00264450" w:rsidP="00345119">
            <w:pPr>
              <w:jc w:val="right"/>
            </w:pPr>
            <w:r>
              <w:t xml:space="preserve">By: </w:t>
            </w:r>
            <w:r>
              <w:t>Huffman</w:t>
            </w:r>
          </w:p>
        </w:tc>
      </w:tr>
      <w:tr w:rsidR="00017112" w:rsidTr="00345119">
        <w:tc>
          <w:tcPr>
            <w:tcW w:w="9576" w:type="dxa"/>
          </w:tcPr>
          <w:p w:rsidR="008423E4" w:rsidRPr="00861995" w:rsidRDefault="00264450" w:rsidP="00345119">
            <w:pPr>
              <w:jc w:val="right"/>
            </w:pPr>
            <w:r>
              <w:t>Pensions, Investments &amp; Financial Services</w:t>
            </w:r>
          </w:p>
        </w:tc>
      </w:tr>
      <w:tr w:rsidR="00017112" w:rsidTr="00345119">
        <w:tc>
          <w:tcPr>
            <w:tcW w:w="9576" w:type="dxa"/>
          </w:tcPr>
          <w:p w:rsidR="008423E4" w:rsidRDefault="00264450" w:rsidP="00345119">
            <w:pPr>
              <w:jc w:val="right"/>
            </w:pPr>
            <w:r>
              <w:t>Committee Report (Substituted)</w:t>
            </w:r>
          </w:p>
        </w:tc>
      </w:tr>
    </w:tbl>
    <w:p w:rsidR="008423E4" w:rsidRDefault="00264450" w:rsidP="008423E4">
      <w:pPr>
        <w:tabs>
          <w:tab w:val="right" w:pos="9360"/>
        </w:tabs>
      </w:pPr>
    </w:p>
    <w:p w:rsidR="008423E4" w:rsidRDefault="00264450" w:rsidP="008423E4"/>
    <w:p w:rsidR="008423E4" w:rsidRDefault="00264450" w:rsidP="008423E4"/>
    <w:tbl>
      <w:tblPr>
        <w:tblW w:w="0" w:type="auto"/>
        <w:tblCellMar>
          <w:left w:w="115" w:type="dxa"/>
          <w:right w:w="115" w:type="dxa"/>
        </w:tblCellMar>
        <w:tblLook w:val="01E0" w:firstRow="1" w:lastRow="1" w:firstColumn="1" w:lastColumn="1" w:noHBand="0" w:noVBand="0"/>
      </w:tblPr>
      <w:tblGrid>
        <w:gridCol w:w="9576"/>
      </w:tblGrid>
      <w:tr w:rsidR="00017112" w:rsidTr="00345119">
        <w:tc>
          <w:tcPr>
            <w:tcW w:w="9576" w:type="dxa"/>
          </w:tcPr>
          <w:p w:rsidR="008423E4" w:rsidRPr="00A8133F" w:rsidRDefault="00264450" w:rsidP="00D6540D">
            <w:pPr>
              <w:rPr>
                <w:b/>
              </w:rPr>
            </w:pPr>
            <w:r w:rsidRPr="009C1E9A">
              <w:rPr>
                <w:b/>
                <w:u w:val="single"/>
              </w:rPr>
              <w:t>BACKGROUND AND PURPOSE</w:t>
            </w:r>
            <w:r>
              <w:rPr>
                <w:b/>
              </w:rPr>
              <w:t xml:space="preserve"> </w:t>
            </w:r>
          </w:p>
          <w:p w:rsidR="008423E4" w:rsidRDefault="00264450" w:rsidP="00D6540D"/>
          <w:p w:rsidR="008423E4" w:rsidRDefault="00264450" w:rsidP="00D6540D">
            <w:pPr>
              <w:pStyle w:val="Header"/>
              <w:tabs>
                <w:tab w:val="clear" w:pos="4320"/>
                <w:tab w:val="clear" w:pos="8640"/>
              </w:tabs>
              <w:jc w:val="both"/>
            </w:pPr>
            <w:r w:rsidRPr="000333AD">
              <w:t xml:space="preserve">The Texas Municipal Retirement System (TMRS) is a statewide system established in </w:t>
            </w:r>
            <w:r>
              <w:t xml:space="preserve">the </w:t>
            </w:r>
            <w:r w:rsidRPr="000333AD">
              <w:t>194</w:t>
            </w:r>
            <w:r>
              <w:t xml:space="preserve">0s </w:t>
            </w:r>
            <w:r w:rsidRPr="000333AD">
              <w:t xml:space="preserve">to provide </w:t>
            </w:r>
            <w:r w:rsidRPr="000333AD">
              <w:t>cities in Texas voluntary access to retirement, disability, and death benefits for their employees. Each participating city chooses a plan of benefits from the various options available under TMRS. The plan of benefits selected is funded separately for eac</w:t>
            </w:r>
            <w:r w:rsidRPr="000333AD">
              <w:t>h city through a combination of employee contributions, actuarially determined employer contributions, and investment income.</w:t>
            </w:r>
            <w:r>
              <w:t xml:space="preserve"> It has been suggested that</w:t>
            </w:r>
            <w:r w:rsidRPr="000333AD">
              <w:t xml:space="preserve"> administrative and operational improvements </w:t>
            </w:r>
            <w:r>
              <w:t>will</w:t>
            </w:r>
            <w:r w:rsidRPr="000333AD">
              <w:t xml:space="preserve"> allow the </w:t>
            </w:r>
            <w:r>
              <w:t>TMRS</w:t>
            </w:r>
            <w:r w:rsidRPr="000333AD">
              <w:t xml:space="preserve"> to run more efficiently and effectively</w:t>
            </w:r>
            <w:r w:rsidRPr="000333AD">
              <w:t xml:space="preserve">. </w:t>
            </w:r>
            <w:r>
              <w:t>C.S.S</w:t>
            </w:r>
            <w:r>
              <w:t>.B.</w:t>
            </w:r>
            <w:r>
              <w:t xml:space="preserve"> 1337</w:t>
            </w:r>
            <w:r>
              <w:t xml:space="preserve"> seeks to address this issue by updating, clarifying, and revising provisions relating to credit in, benefits from, and administration of </w:t>
            </w:r>
            <w:r w:rsidRPr="000333AD">
              <w:t>TMRS.</w:t>
            </w:r>
          </w:p>
          <w:p w:rsidR="008423E4" w:rsidRPr="00E26B13" w:rsidRDefault="00264450" w:rsidP="00D6540D">
            <w:pPr>
              <w:rPr>
                <w:b/>
              </w:rPr>
            </w:pPr>
          </w:p>
        </w:tc>
      </w:tr>
      <w:tr w:rsidR="00017112" w:rsidTr="00345119">
        <w:tc>
          <w:tcPr>
            <w:tcW w:w="9576" w:type="dxa"/>
          </w:tcPr>
          <w:p w:rsidR="0017725B" w:rsidRDefault="00264450" w:rsidP="00D6540D">
            <w:pPr>
              <w:rPr>
                <w:b/>
                <w:u w:val="single"/>
              </w:rPr>
            </w:pPr>
            <w:r>
              <w:rPr>
                <w:b/>
                <w:u w:val="single"/>
              </w:rPr>
              <w:t>CRIMINAL JUSTICE IMPACT</w:t>
            </w:r>
          </w:p>
          <w:p w:rsidR="0017725B" w:rsidRDefault="00264450" w:rsidP="00D6540D">
            <w:pPr>
              <w:rPr>
                <w:b/>
                <w:u w:val="single"/>
              </w:rPr>
            </w:pPr>
          </w:p>
          <w:p w:rsidR="0017725B" w:rsidRPr="0017725B" w:rsidRDefault="00264450" w:rsidP="00D6540D">
            <w:pPr>
              <w:jc w:val="both"/>
            </w:pPr>
            <w:r w:rsidRPr="00D50878">
              <w:t>It is the committee's opinion that this bill does not expressly create</w:t>
            </w:r>
            <w:r w:rsidRPr="00D50878">
              <w:t xml:space="preserve"> a criminal offense, increase the punishment for an existing criminal offense or category of offenses, or change the eligibility of a person for community supervision, parole, or mandatory supervision.</w:t>
            </w:r>
          </w:p>
          <w:p w:rsidR="0017725B" w:rsidRPr="0017725B" w:rsidRDefault="00264450" w:rsidP="00D6540D">
            <w:pPr>
              <w:rPr>
                <w:b/>
                <w:u w:val="single"/>
              </w:rPr>
            </w:pPr>
          </w:p>
        </w:tc>
      </w:tr>
      <w:tr w:rsidR="00017112" w:rsidTr="00345119">
        <w:tc>
          <w:tcPr>
            <w:tcW w:w="9576" w:type="dxa"/>
          </w:tcPr>
          <w:p w:rsidR="008423E4" w:rsidRPr="00A8133F" w:rsidRDefault="00264450" w:rsidP="00D6540D">
            <w:pPr>
              <w:rPr>
                <w:b/>
              </w:rPr>
            </w:pPr>
            <w:r w:rsidRPr="009C1E9A">
              <w:rPr>
                <w:b/>
                <w:u w:val="single"/>
              </w:rPr>
              <w:t>RULEMAKING AUTHORITY</w:t>
            </w:r>
            <w:r>
              <w:rPr>
                <w:b/>
              </w:rPr>
              <w:t xml:space="preserve"> </w:t>
            </w:r>
          </w:p>
          <w:p w:rsidR="008423E4" w:rsidRDefault="00264450" w:rsidP="00D6540D"/>
          <w:p w:rsidR="008423E4" w:rsidRDefault="00264450" w:rsidP="00D6540D">
            <w:pPr>
              <w:pStyle w:val="Header"/>
              <w:tabs>
                <w:tab w:val="clear" w:pos="4320"/>
                <w:tab w:val="clear" w:pos="8640"/>
              </w:tabs>
              <w:jc w:val="both"/>
            </w:pPr>
            <w:r w:rsidRPr="00D50878">
              <w:t>It is the committee's opinion</w:t>
            </w:r>
            <w:r w:rsidRPr="00D50878">
              <w:t xml:space="preserve"> that rulemaking authority is expressly granted to the board of trustees of the Texas Municipal Retirement System in SECTIONS 4, 16, 17, and 23 of this bill.</w:t>
            </w:r>
          </w:p>
          <w:p w:rsidR="0031782D" w:rsidRPr="00E21FDC" w:rsidRDefault="00264450" w:rsidP="00D6540D">
            <w:pPr>
              <w:rPr>
                <w:b/>
              </w:rPr>
            </w:pPr>
          </w:p>
        </w:tc>
      </w:tr>
      <w:tr w:rsidR="00017112" w:rsidTr="00345119">
        <w:tc>
          <w:tcPr>
            <w:tcW w:w="9576" w:type="dxa"/>
          </w:tcPr>
          <w:p w:rsidR="008423E4" w:rsidRPr="00A8133F" w:rsidRDefault="00264450" w:rsidP="00D6540D">
            <w:pPr>
              <w:rPr>
                <w:b/>
              </w:rPr>
            </w:pPr>
            <w:r w:rsidRPr="009C1E9A">
              <w:rPr>
                <w:b/>
                <w:u w:val="single"/>
              </w:rPr>
              <w:t>ANALYSIS</w:t>
            </w:r>
            <w:r>
              <w:rPr>
                <w:b/>
              </w:rPr>
              <w:t xml:space="preserve"> </w:t>
            </w:r>
          </w:p>
          <w:p w:rsidR="008423E4" w:rsidRDefault="00264450" w:rsidP="00D6540D"/>
          <w:p w:rsidR="00D50878" w:rsidRDefault="00264450" w:rsidP="00D6540D">
            <w:pPr>
              <w:contextualSpacing/>
              <w:jc w:val="both"/>
              <w:rPr>
                <w:sz w:val="23"/>
                <w:szCs w:val="23"/>
              </w:rPr>
            </w:pPr>
            <w:r>
              <w:t xml:space="preserve">C.S.S.B. 1337 amends the Government Code to update, clarify, </w:t>
            </w:r>
            <w:r>
              <w:t>and revise provisions relating to credit in, benefits from, and administration of the Texas Municipal Retirement System (TMRS). The bill revises provisions relating to amortization periods to specify that the maximum period is 30 years. The bill authorizes</w:t>
            </w:r>
            <w:r>
              <w:t xml:space="preserve"> the board of trustees </w:t>
            </w:r>
            <w:r w:rsidRPr="00717FD7">
              <w:t>of TMRS</w:t>
            </w:r>
            <w:r>
              <w:t xml:space="preserve"> </w:t>
            </w:r>
            <w:r>
              <w:rPr>
                <w:sz w:val="23"/>
                <w:szCs w:val="23"/>
              </w:rPr>
              <w:t>to take the following actions, after consultation with the actuary, by rule or by adopted funding policy:</w:t>
            </w:r>
          </w:p>
          <w:p w:rsidR="00D50878" w:rsidRPr="007113D4" w:rsidRDefault="00264450" w:rsidP="00D6540D">
            <w:pPr>
              <w:pStyle w:val="ListParagraph"/>
              <w:numPr>
                <w:ilvl w:val="0"/>
                <w:numId w:val="1"/>
              </w:numPr>
              <w:spacing w:before="120" w:after="120"/>
              <w:contextualSpacing w:val="0"/>
              <w:jc w:val="both"/>
              <w:rPr>
                <w:sz w:val="23"/>
                <w:szCs w:val="23"/>
              </w:rPr>
            </w:pPr>
            <w:r w:rsidRPr="007113D4">
              <w:rPr>
                <w:sz w:val="23"/>
                <w:szCs w:val="23"/>
              </w:rPr>
              <w:t>change the period for amortizing a municipality's unfunded actuarial accrued liabilities from an open period to a close</w:t>
            </w:r>
            <w:r w:rsidRPr="007113D4">
              <w:rPr>
                <w:sz w:val="23"/>
                <w:szCs w:val="23"/>
              </w:rPr>
              <w:t>d period or from a closed period to an open period;</w:t>
            </w:r>
          </w:p>
          <w:p w:rsidR="00D50878" w:rsidRPr="007113D4" w:rsidRDefault="00264450" w:rsidP="00D6540D">
            <w:pPr>
              <w:pStyle w:val="ListParagraph"/>
              <w:numPr>
                <w:ilvl w:val="0"/>
                <w:numId w:val="1"/>
              </w:numPr>
              <w:spacing w:before="120" w:after="120"/>
              <w:contextualSpacing w:val="0"/>
              <w:jc w:val="both"/>
              <w:rPr>
                <w:sz w:val="23"/>
                <w:szCs w:val="23"/>
              </w:rPr>
            </w:pPr>
            <w:r w:rsidRPr="007113D4">
              <w:rPr>
                <w:sz w:val="23"/>
                <w:szCs w:val="23"/>
              </w:rPr>
              <w:t>decrease or increase the amortization period, provided the amortization period may not exceed 30 years; and</w:t>
            </w:r>
          </w:p>
          <w:p w:rsidR="00D50878" w:rsidRDefault="00264450" w:rsidP="00D6540D">
            <w:pPr>
              <w:pStyle w:val="ListParagraph"/>
              <w:numPr>
                <w:ilvl w:val="0"/>
                <w:numId w:val="1"/>
              </w:numPr>
              <w:spacing w:before="120" w:after="120"/>
              <w:contextualSpacing w:val="0"/>
              <w:jc w:val="both"/>
            </w:pPr>
            <w:r w:rsidRPr="007113D4">
              <w:rPr>
                <w:sz w:val="23"/>
                <w:szCs w:val="23"/>
              </w:rPr>
              <w:t>set different amortization periods for unfunded actuarial accrued liabilities arising from diffe</w:t>
            </w:r>
            <w:r w:rsidRPr="007113D4">
              <w:rPr>
                <w:sz w:val="23"/>
                <w:szCs w:val="23"/>
              </w:rPr>
              <w:t>rent types of events giving rise to liabilities and ladder the amortization of the liabilities.</w:t>
            </w:r>
          </w:p>
          <w:p w:rsidR="0031782D" w:rsidRDefault="00264450" w:rsidP="00D6540D">
            <w:pPr>
              <w:contextualSpacing/>
              <w:jc w:val="both"/>
            </w:pPr>
          </w:p>
          <w:p w:rsidR="00D50878" w:rsidRDefault="00264450" w:rsidP="00D6540D">
            <w:pPr>
              <w:contextualSpacing/>
              <w:jc w:val="both"/>
            </w:pPr>
            <w:r>
              <w:t>C.S.S.B. 1337 authorizes the board to provide for a board-initiated phase-in of a municipal contribution rate increase or amortization period increase and auth</w:t>
            </w:r>
            <w:r>
              <w:t xml:space="preserve">orizes a municipality to decline such an increase. </w:t>
            </w:r>
          </w:p>
          <w:p w:rsidR="00D50878" w:rsidRDefault="00264450" w:rsidP="00D6540D">
            <w:pPr>
              <w:contextualSpacing/>
              <w:jc w:val="both"/>
            </w:pPr>
          </w:p>
          <w:p w:rsidR="00D50878" w:rsidRDefault="00264450" w:rsidP="00D6540D">
            <w:pPr>
              <w:contextualSpacing/>
              <w:jc w:val="both"/>
            </w:pPr>
            <w:r>
              <w:t>C.S.S.B. 1337 exempts the board</w:t>
            </w:r>
            <w:r>
              <w:t xml:space="preserve"> of trustees</w:t>
            </w:r>
            <w:r>
              <w:t xml:space="preserve">, </w:t>
            </w:r>
            <w:r w:rsidRPr="00332DB7">
              <w:t xml:space="preserve">director, members of an advisory committee or medical board appointed by the board of trustees, and </w:t>
            </w:r>
            <w:r>
              <w:t>staff</w:t>
            </w:r>
            <w:r w:rsidRPr="00332DB7">
              <w:t xml:space="preserve"> of </w:t>
            </w:r>
            <w:r>
              <w:t>TMRS</w:t>
            </w:r>
            <w:r w:rsidRPr="00332DB7">
              <w:t xml:space="preserve"> </w:t>
            </w:r>
            <w:r>
              <w:t>from liability</w:t>
            </w:r>
            <w:r w:rsidRPr="00332DB7">
              <w:t xml:space="preserve"> for any action taken or omiss</w:t>
            </w:r>
            <w:r w:rsidRPr="00332DB7">
              <w:t xml:space="preserve">ion made or suffered by them in good faith in the performance of any duty in connection with any program, system, or benefit administered by </w:t>
            </w:r>
            <w:r>
              <w:t>TMRS</w:t>
            </w:r>
            <w:r w:rsidRPr="00332DB7">
              <w:t>.</w:t>
            </w:r>
            <w:r>
              <w:t xml:space="preserve"> </w:t>
            </w:r>
          </w:p>
          <w:p w:rsidR="00D50878" w:rsidRDefault="00264450" w:rsidP="00D6540D">
            <w:pPr>
              <w:contextualSpacing/>
              <w:jc w:val="both"/>
            </w:pPr>
          </w:p>
          <w:p w:rsidR="00D50878" w:rsidRDefault="00264450" w:rsidP="00D6540D">
            <w:pPr>
              <w:contextualSpacing/>
              <w:jc w:val="both"/>
            </w:pPr>
            <w:r>
              <w:t>C.S.S.B. 1337 authorizes the board to adopt rules necessary or desirable to implement provisions relating t</w:t>
            </w:r>
            <w:r>
              <w:t>o a member's service that is creditable in TMRS and specifies member creditable service entitlements under TMRS relating to excluded prior service credit. The bill changes from the board of trustees of TMRS to TMRS the entity required to determine a member</w:t>
            </w:r>
            <w:r>
              <w:t>'s creditable service in TMRS. The bill sets the minimum percentage a municipality may</w:t>
            </w:r>
            <w:r w:rsidRPr="008143A8">
              <w:t xml:space="preserve"> appl</w:t>
            </w:r>
            <w:r>
              <w:t>y</w:t>
            </w:r>
            <w:r w:rsidRPr="008143A8">
              <w:t xml:space="preserve"> against the base credit in computing a prior service credit </w:t>
            </w:r>
            <w:r>
              <w:t xml:space="preserve">at 10 percent. The bill requires the governing body of a municipality to adopt by ordinance </w:t>
            </w:r>
            <w:r w:rsidRPr="00486D2D">
              <w:t>a zero perc</w:t>
            </w:r>
            <w:r w:rsidRPr="00486D2D">
              <w:t xml:space="preserve">ent prior service credit if, before joining </w:t>
            </w:r>
            <w:r>
              <w:t>TMRS</w:t>
            </w:r>
            <w:r w:rsidRPr="00486D2D">
              <w:t>, the municipality provided retirement benefits to its employees that were funded partly or wholly by the municipality.</w:t>
            </w:r>
            <w:r>
              <w:t xml:space="preserve"> Prior service credit so</w:t>
            </w:r>
            <w:r>
              <w:t xml:space="preserve"> </w:t>
            </w:r>
            <w:r>
              <w:t xml:space="preserve">adopted is excluded prior service credit. The bill sets out the </w:t>
            </w:r>
            <w:r>
              <w:t xml:space="preserve">circumstances under which an employee is only entitled to an excluded prior service credit. </w:t>
            </w:r>
          </w:p>
          <w:p w:rsidR="00D50878" w:rsidRDefault="00264450" w:rsidP="00D6540D">
            <w:pPr>
              <w:contextualSpacing/>
              <w:jc w:val="both"/>
            </w:pPr>
          </w:p>
          <w:p w:rsidR="00D50878" w:rsidRDefault="00264450" w:rsidP="00D6540D">
            <w:pPr>
              <w:contextualSpacing/>
              <w:jc w:val="both"/>
            </w:pPr>
            <w:r>
              <w:t>C.S.S.B. 1337</w:t>
            </w:r>
            <w:r w:rsidRPr="000F6E7E">
              <w:t xml:space="preserve"> </w:t>
            </w:r>
            <w:r>
              <w:t>authorizes TMRS to recalculate updated service credit for purposes of determining a member's retirement annuity under the following circumstances:</w:t>
            </w:r>
          </w:p>
          <w:p w:rsidR="00D50878" w:rsidRDefault="00264450" w:rsidP="00D6540D">
            <w:pPr>
              <w:pStyle w:val="ListParagraph"/>
              <w:numPr>
                <w:ilvl w:val="0"/>
                <w:numId w:val="2"/>
              </w:numPr>
              <w:spacing w:before="120" w:after="120"/>
              <w:contextualSpacing w:val="0"/>
              <w:jc w:val="both"/>
            </w:pPr>
            <w:r>
              <w:t>t</w:t>
            </w:r>
            <w:r>
              <w:t xml:space="preserve">he member reestablishes previously canceled credited service and retires in the same calendar year; and </w:t>
            </w:r>
          </w:p>
          <w:p w:rsidR="00D50878" w:rsidRDefault="00264450" w:rsidP="00D6540D">
            <w:pPr>
              <w:pStyle w:val="ListParagraph"/>
              <w:numPr>
                <w:ilvl w:val="0"/>
                <w:numId w:val="2"/>
              </w:numPr>
              <w:spacing w:before="120" w:after="120"/>
              <w:contextualSpacing w:val="0"/>
              <w:jc w:val="both"/>
            </w:pPr>
            <w:r>
              <w:t>any municipality for which the member performed creditable service adopts an applicable ordinance authorizing updated service credits with an effective</w:t>
            </w:r>
            <w:r>
              <w:t xml:space="preserve"> date of January 1 of the same calendar year. </w:t>
            </w:r>
          </w:p>
          <w:p w:rsidR="00471455" w:rsidRDefault="00264450" w:rsidP="00825091">
            <w:pPr>
              <w:contextualSpacing/>
              <w:jc w:val="both"/>
            </w:pPr>
          </w:p>
          <w:p w:rsidR="00D50878" w:rsidRDefault="00264450" w:rsidP="00825091">
            <w:pPr>
              <w:spacing w:after="120"/>
              <w:contextualSpacing/>
              <w:jc w:val="both"/>
            </w:pPr>
            <w:r>
              <w:t>C.S.S.B. 1337 requires a member</w:t>
            </w:r>
            <w:r w:rsidRPr="00933907">
              <w:t>, beginning January 1, 2022,</w:t>
            </w:r>
            <w:r>
              <w:t xml:space="preserve"> to be eligible to receive an updated service credit from such a municipality, </w:t>
            </w:r>
            <w:r w:rsidRPr="009C11A1">
              <w:t xml:space="preserve">to be a contributing employee of the municipality on January 1 of the </w:t>
            </w:r>
            <w:r w:rsidRPr="009C11A1">
              <w:t>year immediately preceding the January 1 on which the updated service credits will take effect</w:t>
            </w:r>
            <w:r>
              <w:t>.</w:t>
            </w:r>
          </w:p>
          <w:p w:rsidR="00D50878" w:rsidRDefault="00264450" w:rsidP="00D6540D">
            <w:pPr>
              <w:contextualSpacing/>
              <w:jc w:val="both"/>
            </w:pPr>
          </w:p>
          <w:p w:rsidR="00D50878" w:rsidRDefault="00264450" w:rsidP="00D6540D">
            <w:pPr>
              <w:contextualSpacing/>
              <w:jc w:val="both"/>
            </w:pPr>
            <w:r>
              <w:t xml:space="preserve">C.S.S.B. 1337 updates occupational disability provisions relating to application for disability </w:t>
            </w:r>
            <w:r>
              <w:t xml:space="preserve">annuities </w:t>
            </w:r>
            <w:r>
              <w:t xml:space="preserve">and standard </w:t>
            </w:r>
            <w:r>
              <w:t xml:space="preserve">occupational </w:t>
            </w:r>
            <w:r>
              <w:t xml:space="preserve">disability annuities. The bill authorizes TMRS to require a </w:t>
            </w:r>
            <w:r w:rsidRPr="001F6371">
              <w:t xml:space="preserve">disability retiree who is younger than 60 years of age to undergo a medical examination and provide current medical and other relevant information reaffirming the status of the retiree as meeting </w:t>
            </w:r>
            <w:r w:rsidRPr="001F6371">
              <w:t>the</w:t>
            </w:r>
            <w:r>
              <w:t xml:space="preserve"> </w:t>
            </w:r>
            <w:r w:rsidRPr="00274327">
              <w:t xml:space="preserve">eligibility </w:t>
            </w:r>
            <w:r>
              <w:t xml:space="preserve">requirements </w:t>
            </w:r>
            <w:r w:rsidRPr="00274327">
              <w:t xml:space="preserve">for </w:t>
            </w:r>
            <w:r>
              <w:t xml:space="preserve">certification of occupational disability, sets out provisions establishing effects of this requirement, and establishes that the suspension of a disability retirement benefit under these provisions does not suspend payment </w:t>
            </w:r>
            <w:r>
              <w:t xml:space="preserve">of a benefit to an alternate payee under a qualified domestic relations order. </w:t>
            </w:r>
          </w:p>
          <w:p w:rsidR="00D50878" w:rsidRDefault="00264450" w:rsidP="00D6540D">
            <w:pPr>
              <w:contextualSpacing/>
              <w:jc w:val="both"/>
            </w:pPr>
          </w:p>
          <w:p w:rsidR="00D50878" w:rsidRDefault="00264450" w:rsidP="00D6540D">
            <w:pPr>
              <w:contextualSpacing/>
              <w:jc w:val="both"/>
            </w:pPr>
            <w:r>
              <w:t>C.S.S.B. 1337 a</w:t>
            </w:r>
            <w:r w:rsidRPr="007113D4">
              <w:t>uthorizes</w:t>
            </w:r>
            <w:r>
              <w:t xml:space="preserve"> the board to adopt rules necessary or desirable to implement statutory provisions relating to optional disability retirement benefits under TMRS.</w:t>
            </w:r>
          </w:p>
          <w:p w:rsidR="00D50878" w:rsidRDefault="00264450" w:rsidP="00D6540D">
            <w:pPr>
              <w:contextualSpacing/>
              <w:jc w:val="both"/>
            </w:pPr>
          </w:p>
          <w:p w:rsidR="00D50878" w:rsidRDefault="00264450" w:rsidP="00D6540D">
            <w:pPr>
              <w:contextualSpacing/>
              <w:jc w:val="both"/>
            </w:pPr>
            <w:r>
              <w:t>C.S</w:t>
            </w:r>
            <w:r>
              <w:t>.S.B. 1337</w:t>
            </w:r>
            <w:r w:rsidRPr="00205280">
              <w:t xml:space="preserve"> </w:t>
            </w:r>
            <w:r>
              <w:t xml:space="preserve">authorizes the board to adopt rules necessary or desirable to implement provisions relating to board meetings and </w:t>
            </w:r>
            <w:r>
              <w:t>revises provisions relating to the following:</w:t>
            </w:r>
          </w:p>
          <w:p w:rsidR="00D50878" w:rsidRDefault="00264450" w:rsidP="00D6540D">
            <w:pPr>
              <w:pStyle w:val="ListParagraph"/>
              <w:numPr>
                <w:ilvl w:val="0"/>
                <w:numId w:val="3"/>
              </w:numPr>
              <w:spacing w:before="120" w:after="120"/>
              <w:contextualSpacing w:val="0"/>
              <w:jc w:val="both"/>
            </w:pPr>
            <w:r>
              <w:t>the frequency of meetings held by the board;</w:t>
            </w:r>
          </w:p>
          <w:p w:rsidR="00D50878" w:rsidRDefault="00264450" w:rsidP="00D6540D">
            <w:pPr>
              <w:pStyle w:val="ListParagraph"/>
              <w:numPr>
                <w:ilvl w:val="0"/>
                <w:numId w:val="3"/>
              </w:numPr>
              <w:spacing w:before="120" w:after="120"/>
              <w:contextualSpacing w:val="0"/>
              <w:jc w:val="both"/>
            </w:pPr>
            <w:r>
              <w:t>the applicability of state open meetings</w:t>
            </w:r>
            <w:r>
              <w:t xml:space="preserve"> law to certain board activities;</w:t>
            </w:r>
          </w:p>
          <w:p w:rsidR="00D50878" w:rsidRDefault="00264450" w:rsidP="00D6540D">
            <w:pPr>
              <w:pStyle w:val="ListParagraph"/>
              <w:numPr>
                <w:ilvl w:val="0"/>
                <w:numId w:val="3"/>
              </w:numPr>
              <w:spacing w:before="120" w:after="120"/>
              <w:contextualSpacing w:val="0"/>
              <w:jc w:val="both"/>
            </w:pPr>
            <w:r>
              <w:t xml:space="preserve">the authority of the board to hold an open or closed meeting by </w:t>
            </w:r>
            <w:r w:rsidRPr="009A68C3">
              <w:t xml:space="preserve">telephone conference call, videoconference, or other similar </w:t>
            </w:r>
            <w:r>
              <w:t xml:space="preserve">telecommunication method and to use such methods to establish a quorum, </w:t>
            </w:r>
            <w:r>
              <w:t xml:space="preserve">to </w:t>
            </w:r>
            <w:r w:rsidRPr="00E96B8F">
              <w:t>vot</w:t>
            </w:r>
            <w:r>
              <w:t>e,</w:t>
            </w:r>
            <w:r w:rsidRPr="00E96B8F">
              <w:t xml:space="preserve"> or for any other</w:t>
            </w:r>
            <w:r w:rsidRPr="00E96B8F">
              <w:t xml:space="preserve"> meeting purpose</w:t>
            </w:r>
            <w:r>
              <w:t xml:space="preserve">; and </w:t>
            </w:r>
          </w:p>
          <w:p w:rsidR="00D50878" w:rsidRDefault="00264450" w:rsidP="00D6540D">
            <w:pPr>
              <w:pStyle w:val="ListParagraph"/>
              <w:numPr>
                <w:ilvl w:val="0"/>
                <w:numId w:val="3"/>
              </w:numPr>
              <w:spacing w:before="120"/>
              <w:contextualSpacing w:val="0"/>
              <w:jc w:val="both"/>
            </w:pPr>
            <w:r>
              <w:t xml:space="preserve">requirements and prohibitions for a meeting held by such methods. </w:t>
            </w:r>
          </w:p>
          <w:p w:rsidR="00D50878" w:rsidRDefault="00264450" w:rsidP="00D6540D">
            <w:pPr>
              <w:contextualSpacing/>
              <w:jc w:val="both"/>
            </w:pPr>
          </w:p>
          <w:p w:rsidR="00D50878" w:rsidRDefault="00264450" w:rsidP="00D6540D">
            <w:pPr>
              <w:contextualSpacing/>
              <w:jc w:val="both"/>
            </w:pPr>
            <w:r>
              <w:t>C.S.S.B. 1337</w:t>
            </w:r>
            <w:r w:rsidRPr="00205280">
              <w:t xml:space="preserve"> </w:t>
            </w:r>
            <w:r>
              <w:t xml:space="preserve">authorizes the board </w:t>
            </w:r>
            <w:r>
              <w:t xml:space="preserve">of trustees </w:t>
            </w:r>
            <w:r>
              <w:t xml:space="preserve">to initiate or </w:t>
            </w:r>
            <w:r w:rsidRPr="00786806">
              <w:t xml:space="preserve">commission an audit or investigation of activities, functions, or operations of </w:t>
            </w:r>
            <w:r>
              <w:t>TMRS</w:t>
            </w:r>
            <w:r w:rsidRPr="00786806">
              <w:t xml:space="preserve"> as t</w:t>
            </w:r>
            <w:r>
              <w:t>he board deter</w:t>
            </w:r>
            <w:r>
              <w:t>mines appropriate. The bill sets out confidentiality provisions relating to certain audit working papers and audit reports and TMRS participant information</w:t>
            </w:r>
            <w:r>
              <w:rPr>
                <w:sz w:val="23"/>
                <w:szCs w:val="23"/>
              </w:rPr>
              <w:t>.</w:t>
            </w:r>
            <w:r>
              <w:t xml:space="preserve"> The bill includes the delivery of information electronically by TMRS among the procedures for which</w:t>
            </w:r>
            <w:r>
              <w:t xml:space="preserve"> the board may adopt rules and provides for electronic delivery of applicable information to members and retirees. </w:t>
            </w:r>
          </w:p>
          <w:p w:rsidR="00D50878" w:rsidRDefault="00264450" w:rsidP="00D6540D">
            <w:pPr>
              <w:contextualSpacing/>
              <w:jc w:val="both"/>
            </w:pPr>
          </w:p>
          <w:p w:rsidR="00D50878" w:rsidRDefault="00264450" w:rsidP="00D6540D">
            <w:pPr>
              <w:contextualSpacing/>
              <w:jc w:val="both"/>
            </w:pPr>
            <w:r>
              <w:t xml:space="preserve">C.S.S.B. 1337 removes the requirement for the attorney appointed by the board </w:t>
            </w:r>
            <w:r>
              <w:t xml:space="preserve">of trustees </w:t>
            </w:r>
            <w:r>
              <w:t>to represent TMRS in all litigation and authorize</w:t>
            </w:r>
            <w:r>
              <w:t xml:space="preserve">s the board, the executive director of TMRS, or the director's designee to instead </w:t>
            </w:r>
            <w:r w:rsidRPr="003A270B">
              <w:t xml:space="preserve">employ or obtain the services of other attorneys or outside legal counsel to represent </w:t>
            </w:r>
            <w:r>
              <w:t>TMRS</w:t>
            </w:r>
            <w:r w:rsidRPr="003A270B">
              <w:t xml:space="preserve"> in litigation or advise </w:t>
            </w:r>
            <w:r>
              <w:t>TMRS</w:t>
            </w:r>
            <w:r w:rsidRPr="003A270B">
              <w:t xml:space="preserve"> on fiduciary or legal matters.</w:t>
            </w:r>
            <w:r>
              <w:t xml:space="preserve"> The bill replaces the</w:t>
            </w:r>
            <w:r>
              <w:t xml:space="preserve"> TMRS board of trustees with TMRS as the entity subject to certain requirements and actions.</w:t>
            </w:r>
          </w:p>
          <w:p w:rsidR="00D50878" w:rsidRDefault="00264450" w:rsidP="00D6540D">
            <w:pPr>
              <w:contextualSpacing/>
              <w:jc w:val="both"/>
            </w:pPr>
          </w:p>
          <w:p w:rsidR="00D50878" w:rsidRDefault="00264450" w:rsidP="00D6540D">
            <w:pPr>
              <w:contextualSpacing/>
            </w:pPr>
            <w:r>
              <w:t>C.S.S.B. 1337 applies to a retiree regardless of when the person retired.</w:t>
            </w:r>
          </w:p>
          <w:p w:rsidR="00D50878" w:rsidRDefault="00264450" w:rsidP="00D6540D">
            <w:pPr>
              <w:contextualSpacing/>
            </w:pPr>
          </w:p>
          <w:p w:rsidR="000F21AC" w:rsidRDefault="00264450" w:rsidP="00D6540D">
            <w:pPr>
              <w:contextualSpacing/>
            </w:pPr>
            <w:r>
              <w:t>C.S.S.B. 1337 repeals a provision excepting a person employed by the Texas Municipal Le</w:t>
            </w:r>
            <w:r>
              <w:t xml:space="preserve">ague (TML) for the first time who is engaged in lobbying activities from the standing </w:t>
            </w:r>
            <w:r>
              <w:t xml:space="preserve">conferred on </w:t>
            </w:r>
            <w:r>
              <w:t>the TML as a municipality for purposes of statutory provisions relating to TMRS.</w:t>
            </w:r>
          </w:p>
          <w:p w:rsidR="00D50878" w:rsidRDefault="00264450" w:rsidP="00D6540D">
            <w:pPr>
              <w:contextualSpacing/>
            </w:pPr>
          </w:p>
          <w:p w:rsidR="00D50878" w:rsidRPr="00517ADA" w:rsidRDefault="00264450" w:rsidP="00D6540D">
            <w:pPr>
              <w:pStyle w:val="Header"/>
              <w:tabs>
                <w:tab w:val="clear" w:pos="4320"/>
                <w:tab w:val="clear" w:pos="8640"/>
              </w:tabs>
              <w:jc w:val="both"/>
            </w:pPr>
            <w:r>
              <w:t>C.S.S.B. 1337 repeals the following provisions of the Government Code:</w:t>
            </w:r>
          </w:p>
          <w:p w:rsidR="000F21AC" w:rsidRPr="000F21AC" w:rsidRDefault="00264450" w:rsidP="00D6540D">
            <w:pPr>
              <w:pStyle w:val="Header"/>
              <w:numPr>
                <w:ilvl w:val="0"/>
                <w:numId w:val="4"/>
              </w:numPr>
              <w:tabs>
                <w:tab w:val="clear" w:pos="4320"/>
                <w:tab w:val="clear" w:pos="8640"/>
              </w:tabs>
              <w:spacing w:before="120" w:after="120"/>
              <w:jc w:val="both"/>
            </w:pPr>
            <w:r>
              <w:t xml:space="preserve">Section </w:t>
            </w:r>
            <w:r w:rsidRPr="000F21AC">
              <w:t>852.005(b)</w:t>
            </w:r>
          </w:p>
          <w:p w:rsidR="00D50878" w:rsidRPr="00D56055" w:rsidRDefault="00264450" w:rsidP="00D6540D">
            <w:pPr>
              <w:pStyle w:val="Header"/>
              <w:numPr>
                <w:ilvl w:val="0"/>
                <w:numId w:val="4"/>
              </w:numPr>
              <w:tabs>
                <w:tab w:val="clear" w:pos="4320"/>
                <w:tab w:val="clear" w:pos="8640"/>
              </w:tabs>
              <w:spacing w:before="120" w:after="120"/>
              <w:jc w:val="both"/>
              <w:rPr>
                <w:b/>
              </w:rPr>
            </w:pPr>
            <w:r>
              <w:t>Section 853.105(b)</w:t>
            </w:r>
          </w:p>
          <w:p w:rsidR="00D50878" w:rsidRPr="00D56055" w:rsidRDefault="00264450" w:rsidP="00D6540D">
            <w:pPr>
              <w:pStyle w:val="Header"/>
              <w:numPr>
                <w:ilvl w:val="0"/>
                <w:numId w:val="4"/>
              </w:numPr>
              <w:tabs>
                <w:tab w:val="clear" w:pos="4320"/>
                <w:tab w:val="clear" w:pos="8640"/>
              </w:tabs>
              <w:spacing w:before="120" w:after="120"/>
              <w:jc w:val="both"/>
              <w:rPr>
                <w:b/>
              </w:rPr>
            </w:pPr>
            <w:r>
              <w:t>Sections 854.408(c) and (d)</w:t>
            </w:r>
          </w:p>
          <w:p w:rsidR="00D50878" w:rsidRDefault="00264450" w:rsidP="00D6540D">
            <w:pPr>
              <w:pStyle w:val="Header"/>
              <w:numPr>
                <w:ilvl w:val="0"/>
                <w:numId w:val="4"/>
              </w:numPr>
              <w:tabs>
                <w:tab w:val="clear" w:pos="4320"/>
                <w:tab w:val="clear" w:pos="8640"/>
              </w:tabs>
              <w:spacing w:before="120" w:after="120"/>
              <w:jc w:val="both"/>
              <w:rPr>
                <w:b/>
              </w:rPr>
            </w:pPr>
            <w:r>
              <w:t xml:space="preserve">Section </w:t>
            </w:r>
            <w:r w:rsidRPr="005129D0">
              <w:t>854.410(f)</w:t>
            </w:r>
          </w:p>
          <w:p w:rsidR="008423E4" w:rsidRPr="00835628" w:rsidRDefault="00264450" w:rsidP="00D6540D">
            <w:pPr>
              <w:rPr>
                <w:b/>
              </w:rPr>
            </w:pPr>
          </w:p>
        </w:tc>
      </w:tr>
      <w:tr w:rsidR="00017112" w:rsidTr="00345119">
        <w:tc>
          <w:tcPr>
            <w:tcW w:w="9576" w:type="dxa"/>
          </w:tcPr>
          <w:p w:rsidR="008423E4" w:rsidRPr="00A8133F" w:rsidRDefault="00264450" w:rsidP="00D6540D">
            <w:pPr>
              <w:rPr>
                <w:b/>
              </w:rPr>
            </w:pPr>
            <w:r w:rsidRPr="009C1E9A">
              <w:rPr>
                <w:b/>
                <w:u w:val="single"/>
              </w:rPr>
              <w:t>EFFECTIVE DATE</w:t>
            </w:r>
            <w:r>
              <w:rPr>
                <w:b/>
              </w:rPr>
              <w:t xml:space="preserve"> </w:t>
            </w:r>
          </w:p>
          <w:p w:rsidR="008423E4" w:rsidRDefault="00264450" w:rsidP="00D6540D"/>
          <w:p w:rsidR="008423E4" w:rsidRPr="003624F2" w:rsidRDefault="00264450" w:rsidP="00D6540D">
            <w:pPr>
              <w:pStyle w:val="Header"/>
              <w:tabs>
                <w:tab w:val="clear" w:pos="4320"/>
                <w:tab w:val="clear" w:pos="8640"/>
              </w:tabs>
              <w:jc w:val="both"/>
            </w:pPr>
            <w:r>
              <w:t>January 1, 2020.</w:t>
            </w:r>
          </w:p>
          <w:p w:rsidR="008423E4" w:rsidRPr="00233FDB" w:rsidRDefault="00264450" w:rsidP="00D6540D">
            <w:pPr>
              <w:rPr>
                <w:b/>
              </w:rPr>
            </w:pPr>
          </w:p>
        </w:tc>
      </w:tr>
      <w:tr w:rsidR="00017112" w:rsidTr="00345119">
        <w:tc>
          <w:tcPr>
            <w:tcW w:w="9576" w:type="dxa"/>
          </w:tcPr>
          <w:p w:rsidR="00D50878" w:rsidRDefault="00264450" w:rsidP="00D6540D">
            <w:pPr>
              <w:jc w:val="both"/>
              <w:rPr>
                <w:b/>
                <w:u w:val="single"/>
              </w:rPr>
            </w:pPr>
            <w:r>
              <w:rPr>
                <w:b/>
                <w:u w:val="single"/>
              </w:rPr>
              <w:t>COMPARISON OF SENATE ENGROSSED AND SUBSTITUTE</w:t>
            </w:r>
          </w:p>
          <w:p w:rsidR="00F22E4B" w:rsidRDefault="00264450" w:rsidP="00D6540D">
            <w:pPr>
              <w:jc w:val="both"/>
            </w:pPr>
          </w:p>
          <w:p w:rsidR="00F22E4B" w:rsidRDefault="00264450" w:rsidP="00D6540D">
            <w:pPr>
              <w:jc w:val="both"/>
            </w:pPr>
            <w:r>
              <w:t>While C.S.S.B. 1337 may differ from the engrossed in minor or nonsubstantive ways, the</w:t>
            </w:r>
            <w:r>
              <w:t xml:space="preserve"> following summarizes the substantial differences between the engrossed and committee substitute versions of the bill.</w:t>
            </w:r>
          </w:p>
          <w:p w:rsidR="00F22E4B" w:rsidRDefault="00264450" w:rsidP="00D6540D">
            <w:pPr>
              <w:jc w:val="both"/>
            </w:pPr>
          </w:p>
          <w:p w:rsidR="00F22E4B" w:rsidRDefault="00264450" w:rsidP="00D6540D">
            <w:pPr>
              <w:jc w:val="both"/>
            </w:pPr>
            <w:r>
              <w:t xml:space="preserve">The substitute </w:t>
            </w:r>
            <w:r w:rsidRPr="00060DCF">
              <w:t>repeals a provision</w:t>
            </w:r>
            <w:r w:rsidRPr="00060DCF">
              <w:t xml:space="preserve"> excepting a person employed by the TML for the first time who is engaged in lobbying activities from the standing </w:t>
            </w:r>
            <w:r>
              <w:t xml:space="preserve">conferred on </w:t>
            </w:r>
            <w:r>
              <w:t>the</w:t>
            </w:r>
            <w:r w:rsidRPr="00060DCF">
              <w:t xml:space="preserve"> TML as a municipality for purposes of statutory provisions relating to TMRS.</w:t>
            </w:r>
          </w:p>
          <w:p w:rsidR="00F22E4B" w:rsidRPr="00F22E4B" w:rsidRDefault="00264450" w:rsidP="00D6540D">
            <w:pPr>
              <w:jc w:val="both"/>
            </w:pPr>
          </w:p>
        </w:tc>
      </w:tr>
      <w:tr w:rsidR="00017112" w:rsidTr="00345119">
        <w:tc>
          <w:tcPr>
            <w:tcW w:w="9576" w:type="dxa"/>
          </w:tcPr>
          <w:p w:rsidR="00D50878" w:rsidRPr="009C1E9A" w:rsidRDefault="00264450" w:rsidP="00D6540D">
            <w:pPr>
              <w:rPr>
                <w:b/>
                <w:u w:val="single"/>
              </w:rPr>
            </w:pPr>
          </w:p>
        </w:tc>
      </w:tr>
      <w:tr w:rsidR="00017112" w:rsidTr="00345119">
        <w:tc>
          <w:tcPr>
            <w:tcW w:w="9576" w:type="dxa"/>
          </w:tcPr>
          <w:p w:rsidR="00D50878" w:rsidRPr="00D50878" w:rsidRDefault="00264450" w:rsidP="00D6540D">
            <w:pPr>
              <w:jc w:val="both"/>
            </w:pPr>
          </w:p>
        </w:tc>
      </w:tr>
    </w:tbl>
    <w:p w:rsidR="008423E4" w:rsidRPr="00BE0E75" w:rsidRDefault="00264450" w:rsidP="008423E4">
      <w:pPr>
        <w:spacing w:line="480" w:lineRule="auto"/>
        <w:jc w:val="both"/>
        <w:rPr>
          <w:rFonts w:ascii="Arial" w:hAnsi="Arial"/>
          <w:sz w:val="16"/>
          <w:szCs w:val="16"/>
        </w:rPr>
      </w:pPr>
    </w:p>
    <w:p w:rsidR="004108C3" w:rsidRPr="008423E4" w:rsidRDefault="0026445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64450">
      <w:r>
        <w:separator/>
      </w:r>
    </w:p>
  </w:endnote>
  <w:endnote w:type="continuationSeparator" w:id="0">
    <w:p w:rsidR="00000000" w:rsidRDefault="0026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64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17112" w:rsidTr="009C1E9A">
      <w:trPr>
        <w:cantSplit/>
      </w:trPr>
      <w:tc>
        <w:tcPr>
          <w:tcW w:w="0" w:type="pct"/>
        </w:tcPr>
        <w:p w:rsidR="00137D90" w:rsidRDefault="00264450" w:rsidP="009C1E9A">
          <w:pPr>
            <w:pStyle w:val="Footer"/>
            <w:tabs>
              <w:tab w:val="clear" w:pos="8640"/>
              <w:tab w:val="right" w:pos="9360"/>
            </w:tabs>
          </w:pPr>
        </w:p>
      </w:tc>
      <w:tc>
        <w:tcPr>
          <w:tcW w:w="2395" w:type="pct"/>
        </w:tcPr>
        <w:p w:rsidR="00137D90" w:rsidRDefault="00264450" w:rsidP="009C1E9A">
          <w:pPr>
            <w:pStyle w:val="Footer"/>
            <w:tabs>
              <w:tab w:val="clear" w:pos="8640"/>
              <w:tab w:val="right" w:pos="9360"/>
            </w:tabs>
          </w:pPr>
        </w:p>
        <w:p w:rsidR="001A4310" w:rsidRDefault="00264450" w:rsidP="009C1E9A">
          <w:pPr>
            <w:pStyle w:val="Footer"/>
            <w:tabs>
              <w:tab w:val="clear" w:pos="8640"/>
              <w:tab w:val="right" w:pos="9360"/>
            </w:tabs>
          </w:pPr>
        </w:p>
        <w:p w:rsidR="00137D90" w:rsidRDefault="00264450" w:rsidP="009C1E9A">
          <w:pPr>
            <w:pStyle w:val="Footer"/>
            <w:tabs>
              <w:tab w:val="clear" w:pos="8640"/>
              <w:tab w:val="right" w:pos="9360"/>
            </w:tabs>
          </w:pPr>
        </w:p>
      </w:tc>
      <w:tc>
        <w:tcPr>
          <w:tcW w:w="2453" w:type="pct"/>
        </w:tcPr>
        <w:p w:rsidR="00137D90" w:rsidRDefault="00264450" w:rsidP="009C1E9A">
          <w:pPr>
            <w:pStyle w:val="Footer"/>
            <w:tabs>
              <w:tab w:val="clear" w:pos="8640"/>
              <w:tab w:val="right" w:pos="9360"/>
            </w:tabs>
            <w:jc w:val="right"/>
          </w:pPr>
        </w:p>
      </w:tc>
    </w:tr>
    <w:tr w:rsidR="00017112" w:rsidTr="009C1E9A">
      <w:trPr>
        <w:cantSplit/>
      </w:trPr>
      <w:tc>
        <w:tcPr>
          <w:tcW w:w="0" w:type="pct"/>
        </w:tcPr>
        <w:p w:rsidR="00EC379B" w:rsidRDefault="00264450" w:rsidP="009C1E9A">
          <w:pPr>
            <w:pStyle w:val="Footer"/>
            <w:tabs>
              <w:tab w:val="clear" w:pos="8640"/>
              <w:tab w:val="right" w:pos="9360"/>
            </w:tabs>
          </w:pPr>
        </w:p>
      </w:tc>
      <w:tc>
        <w:tcPr>
          <w:tcW w:w="2395" w:type="pct"/>
        </w:tcPr>
        <w:p w:rsidR="00EC379B" w:rsidRPr="009C1E9A" w:rsidRDefault="00264450" w:rsidP="009C1E9A">
          <w:pPr>
            <w:pStyle w:val="Footer"/>
            <w:tabs>
              <w:tab w:val="clear" w:pos="8640"/>
              <w:tab w:val="right" w:pos="9360"/>
            </w:tabs>
            <w:rPr>
              <w:rFonts w:ascii="Shruti" w:hAnsi="Shruti"/>
              <w:sz w:val="22"/>
            </w:rPr>
          </w:pPr>
          <w:r>
            <w:rPr>
              <w:rFonts w:ascii="Shruti" w:hAnsi="Shruti"/>
              <w:sz w:val="22"/>
            </w:rPr>
            <w:t>86R 28322</w:t>
          </w:r>
        </w:p>
      </w:tc>
      <w:tc>
        <w:tcPr>
          <w:tcW w:w="2453" w:type="pct"/>
        </w:tcPr>
        <w:p w:rsidR="00EC379B" w:rsidRDefault="00264450" w:rsidP="009C1E9A">
          <w:pPr>
            <w:pStyle w:val="Footer"/>
            <w:tabs>
              <w:tab w:val="clear" w:pos="8640"/>
              <w:tab w:val="right" w:pos="9360"/>
            </w:tabs>
            <w:jc w:val="right"/>
          </w:pPr>
          <w:r>
            <w:fldChar w:fldCharType="begin"/>
          </w:r>
          <w:r>
            <w:instrText xml:space="preserve"> DOCPROPERTY  OTID  \* MERGEFORMAT </w:instrText>
          </w:r>
          <w:r>
            <w:fldChar w:fldCharType="separate"/>
          </w:r>
          <w:r>
            <w:t>19.107.1174</w:t>
          </w:r>
          <w:r>
            <w:fldChar w:fldCharType="end"/>
          </w:r>
        </w:p>
      </w:tc>
    </w:tr>
    <w:tr w:rsidR="00017112" w:rsidTr="009C1E9A">
      <w:trPr>
        <w:cantSplit/>
      </w:trPr>
      <w:tc>
        <w:tcPr>
          <w:tcW w:w="0" w:type="pct"/>
        </w:tcPr>
        <w:p w:rsidR="00EC379B" w:rsidRDefault="00264450" w:rsidP="009C1E9A">
          <w:pPr>
            <w:pStyle w:val="Footer"/>
            <w:tabs>
              <w:tab w:val="clear" w:pos="4320"/>
              <w:tab w:val="clear" w:pos="8640"/>
              <w:tab w:val="left" w:pos="2865"/>
            </w:tabs>
          </w:pPr>
        </w:p>
      </w:tc>
      <w:tc>
        <w:tcPr>
          <w:tcW w:w="2395" w:type="pct"/>
        </w:tcPr>
        <w:p w:rsidR="00EC379B" w:rsidRPr="009C1E9A" w:rsidRDefault="00264450" w:rsidP="009C1E9A">
          <w:pPr>
            <w:pStyle w:val="Footer"/>
            <w:tabs>
              <w:tab w:val="clear" w:pos="4320"/>
              <w:tab w:val="clear" w:pos="8640"/>
              <w:tab w:val="left" w:pos="2865"/>
            </w:tabs>
            <w:rPr>
              <w:rFonts w:ascii="Shruti" w:hAnsi="Shruti"/>
              <w:sz w:val="22"/>
            </w:rPr>
          </w:pPr>
          <w:r>
            <w:rPr>
              <w:rFonts w:ascii="Shruti" w:hAnsi="Shruti"/>
              <w:sz w:val="22"/>
            </w:rPr>
            <w:t>Substitute Document Number: 86R 24648</w:t>
          </w:r>
        </w:p>
      </w:tc>
      <w:tc>
        <w:tcPr>
          <w:tcW w:w="2453" w:type="pct"/>
        </w:tcPr>
        <w:p w:rsidR="00EC379B" w:rsidRDefault="00264450" w:rsidP="006D504F">
          <w:pPr>
            <w:pStyle w:val="Footer"/>
            <w:rPr>
              <w:rStyle w:val="PageNumber"/>
            </w:rPr>
          </w:pPr>
        </w:p>
        <w:p w:rsidR="00EC379B" w:rsidRDefault="00264450" w:rsidP="009C1E9A">
          <w:pPr>
            <w:pStyle w:val="Footer"/>
            <w:tabs>
              <w:tab w:val="clear" w:pos="8640"/>
              <w:tab w:val="right" w:pos="9360"/>
            </w:tabs>
            <w:jc w:val="right"/>
          </w:pPr>
        </w:p>
      </w:tc>
    </w:tr>
    <w:tr w:rsidR="00017112" w:rsidTr="009C1E9A">
      <w:trPr>
        <w:cantSplit/>
        <w:trHeight w:val="323"/>
      </w:trPr>
      <w:tc>
        <w:tcPr>
          <w:tcW w:w="0" w:type="pct"/>
          <w:gridSpan w:val="3"/>
        </w:tcPr>
        <w:p w:rsidR="00EC379B" w:rsidRDefault="002644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264450" w:rsidP="009C1E9A">
          <w:pPr>
            <w:pStyle w:val="Footer"/>
            <w:tabs>
              <w:tab w:val="clear" w:pos="8640"/>
              <w:tab w:val="right" w:pos="9360"/>
            </w:tabs>
            <w:jc w:val="center"/>
          </w:pPr>
        </w:p>
      </w:tc>
    </w:tr>
  </w:tbl>
  <w:p w:rsidR="00EC379B" w:rsidRPr="00FF6F72" w:rsidRDefault="0026445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64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64450">
      <w:r>
        <w:separator/>
      </w:r>
    </w:p>
  </w:footnote>
  <w:footnote w:type="continuationSeparator" w:id="0">
    <w:p w:rsidR="00000000" w:rsidRDefault="0026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64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64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264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35B"/>
    <w:multiLevelType w:val="hybridMultilevel"/>
    <w:tmpl w:val="717862A8"/>
    <w:lvl w:ilvl="0" w:tplc="C8D2A09A">
      <w:start w:val="1"/>
      <w:numFmt w:val="bullet"/>
      <w:lvlText w:val=""/>
      <w:lvlJc w:val="left"/>
      <w:pPr>
        <w:tabs>
          <w:tab w:val="num" w:pos="720"/>
        </w:tabs>
        <w:ind w:left="720" w:hanging="360"/>
      </w:pPr>
      <w:rPr>
        <w:rFonts w:ascii="Symbol" w:hAnsi="Symbol" w:hint="default"/>
      </w:rPr>
    </w:lvl>
    <w:lvl w:ilvl="1" w:tplc="D77E8CBA" w:tentative="1">
      <w:start w:val="1"/>
      <w:numFmt w:val="bullet"/>
      <w:lvlText w:val="o"/>
      <w:lvlJc w:val="left"/>
      <w:pPr>
        <w:ind w:left="1440" w:hanging="360"/>
      </w:pPr>
      <w:rPr>
        <w:rFonts w:ascii="Courier New" w:hAnsi="Courier New" w:cs="Courier New" w:hint="default"/>
      </w:rPr>
    </w:lvl>
    <w:lvl w:ilvl="2" w:tplc="3E3E641A" w:tentative="1">
      <w:start w:val="1"/>
      <w:numFmt w:val="bullet"/>
      <w:lvlText w:val=""/>
      <w:lvlJc w:val="left"/>
      <w:pPr>
        <w:ind w:left="2160" w:hanging="360"/>
      </w:pPr>
      <w:rPr>
        <w:rFonts w:ascii="Wingdings" w:hAnsi="Wingdings" w:hint="default"/>
      </w:rPr>
    </w:lvl>
    <w:lvl w:ilvl="3" w:tplc="98324F2E" w:tentative="1">
      <w:start w:val="1"/>
      <w:numFmt w:val="bullet"/>
      <w:lvlText w:val=""/>
      <w:lvlJc w:val="left"/>
      <w:pPr>
        <w:ind w:left="2880" w:hanging="360"/>
      </w:pPr>
      <w:rPr>
        <w:rFonts w:ascii="Symbol" w:hAnsi="Symbol" w:hint="default"/>
      </w:rPr>
    </w:lvl>
    <w:lvl w:ilvl="4" w:tplc="3052120A" w:tentative="1">
      <w:start w:val="1"/>
      <w:numFmt w:val="bullet"/>
      <w:lvlText w:val="o"/>
      <w:lvlJc w:val="left"/>
      <w:pPr>
        <w:ind w:left="3600" w:hanging="360"/>
      </w:pPr>
      <w:rPr>
        <w:rFonts w:ascii="Courier New" w:hAnsi="Courier New" w:cs="Courier New" w:hint="default"/>
      </w:rPr>
    </w:lvl>
    <w:lvl w:ilvl="5" w:tplc="7AC8AD8E" w:tentative="1">
      <w:start w:val="1"/>
      <w:numFmt w:val="bullet"/>
      <w:lvlText w:val=""/>
      <w:lvlJc w:val="left"/>
      <w:pPr>
        <w:ind w:left="4320" w:hanging="360"/>
      </w:pPr>
      <w:rPr>
        <w:rFonts w:ascii="Wingdings" w:hAnsi="Wingdings" w:hint="default"/>
      </w:rPr>
    </w:lvl>
    <w:lvl w:ilvl="6" w:tplc="B9126406" w:tentative="1">
      <w:start w:val="1"/>
      <w:numFmt w:val="bullet"/>
      <w:lvlText w:val=""/>
      <w:lvlJc w:val="left"/>
      <w:pPr>
        <w:ind w:left="5040" w:hanging="360"/>
      </w:pPr>
      <w:rPr>
        <w:rFonts w:ascii="Symbol" w:hAnsi="Symbol" w:hint="default"/>
      </w:rPr>
    </w:lvl>
    <w:lvl w:ilvl="7" w:tplc="C2666476" w:tentative="1">
      <w:start w:val="1"/>
      <w:numFmt w:val="bullet"/>
      <w:lvlText w:val="o"/>
      <w:lvlJc w:val="left"/>
      <w:pPr>
        <w:ind w:left="5760" w:hanging="360"/>
      </w:pPr>
      <w:rPr>
        <w:rFonts w:ascii="Courier New" w:hAnsi="Courier New" w:cs="Courier New" w:hint="default"/>
      </w:rPr>
    </w:lvl>
    <w:lvl w:ilvl="8" w:tplc="60424B44" w:tentative="1">
      <w:start w:val="1"/>
      <w:numFmt w:val="bullet"/>
      <w:lvlText w:val=""/>
      <w:lvlJc w:val="left"/>
      <w:pPr>
        <w:ind w:left="6480" w:hanging="360"/>
      </w:pPr>
      <w:rPr>
        <w:rFonts w:ascii="Wingdings" w:hAnsi="Wingdings" w:hint="default"/>
      </w:rPr>
    </w:lvl>
  </w:abstractNum>
  <w:abstractNum w:abstractNumId="1" w15:restartNumberingAfterBreak="0">
    <w:nsid w:val="40221050"/>
    <w:multiLevelType w:val="hybridMultilevel"/>
    <w:tmpl w:val="1B608AF4"/>
    <w:lvl w:ilvl="0" w:tplc="CDF6DCEE">
      <w:start w:val="1"/>
      <w:numFmt w:val="bullet"/>
      <w:lvlText w:val=""/>
      <w:lvlJc w:val="left"/>
      <w:pPr>
        <w:tabs>
          <w:tab w:val="num" w:pos="720"/>
        </w:tabs>
        <w:ind w:left="720" w:hanging="360"/>
      </w:pPr>
      <w:rPr>
        <w:rFonts w:ascii="Symbol" w:hAnsi="Symbol" w:hint="default"/>
      </w:rPr>
    </w:lvl>
    <w:lvl w:ilvl="1" w:tplc="39ACC558" w:tentative="1">
      <w:start w:val="1"/>
      <w:numFmt w:val="bullet"/>
      <w:lvlText w:val="o"/>
      <w:lvlJc w:val="left"/>
      <w:pPr>
        <w:ind w:left="1440" w:hanging="360"/>
      </w:pPr>
      <w:rPr>
        <w:rFonts w:ascii="Courier New" w:hAnsi="Courier New" w:cs="Courier New" w:hint="default"/>
      </w:rPr>
    </w:lvl>
    <w:lvl w:ilvl="2" w:tplc="50AC70B2" w:tentative="1">
      <w:start w:val="1"/>
      <w:numFmt w:val="bullet"/>
      <w:lvlText w:val=""/>
      <w:lvlJc w:val="left"/>
      <w:pPr>
        <w:ind w:left="2160" w:hanging="360"/>
      </w:pPr>
      <w:rPr>
        <w:rFonts w:ascii="Wingdings" w:hAnsi="Wingdings" w:hint="default"/>
      </w:rPr>
    </w:lvl>
    <w:lvl w:ilvl="3" w:tplc="F6269090" w:tentative="1">
      <w:start w:val="1"/>
      <w:numFmt w:val="bullet"/>
      <w:lvlText w:val=""/>
      <w:lvlJc w:val="left"/>
      <w:pPr>
        <w:ind w:left="2880" w:hanging="360"/>
      </w:pPr>
      <w:rPr>
        <w:rFonts w:ascii="Symbol" w:hAnsi="Symbol" w:hint="default"/>
      </w:rPr>
    </w:lvl>
    <w:lvl w:ilvl="4" w:tplc="4DF66042" w:tentative="1">
      <w:start w:val="1"/>
      <w:numFmt w:val="bullet"/>
      <w:lvlText w:val="o"/>
      <w:lvlJc w:val="left"/>
      <w:pPr>
        <w:ind w:left="3600" w:hanging="360"/>
      </w:pPr>
      <w:rPr>
        <w:rFonts w:ascii="Courier New" w:hAnsi="Courier New" w:cs="Courier New" w:hint="default"/>
      </w:rPr>
    </w:lvl>
    <w:lvl w:ilvl="5" w:tplc="62783278" w:tentative="1">
      <w:start w:val="1"/>
      <w:numFmt w:val="bullet"/>
      <w:lvlText w:val=""/>
      <w:lvlJc w:val="left"/>
      <w:pPr>
        <w:ind w:left="4320" w:hanging="360"/>
      </w:pPr>
      <w:rPr>
        <w:rFonts w:ascii="Wingdings" w:hAnsi="Wingdings" w:hint="default"/>
      </w:rPr>
    </w:lvl>
    <w:lvl w:ilvl="6" w:tplc="AC5A9E6A" w:tentative="1">
      <w:start w:val="1"/>
      <w:numFmt w:val="bullet"/>
      <w:lvlText w:val=""/>
      <w:lvlJc w:val="left"/>
      <w:pPr>
        <w:ind w:left="5040" w:hanging="360"/>
      </w:pPr>
      <w:rPr>
        <w:rFonts w:ascii="Symbol" w:hAnsi="Symbol" w:hint="default"/>
      </w:rPr>
    </w:lvl>
    <w:lvl w:ilvl="7" w:tplc="D8D865C6" w:tentative="1">
      <w:start w:val="1"/>
      <w:numFmt w:val="bullet"/>
      <w:lvlText w:val="o"/>
      <w:lvlJc w:val="left"/>
      <w:pPr>
        <w:ind w:left="5760" w:hanging="360"/>
      </w:pPr>
      <w:rPr>
        <w:rFonts w:ascii="Courier New" w:hAnsi="Courier New" w:cs="Courier New" w:hint="default"/>
      </w:rPr>
    </w:lvl>
    <w:lvl w:ilvl="8" w:tplc="FB603940" w:tentative="1">
      <w:start w:val="1"/>
      <w:numFmt w:val="bullet"/>
      <w:lvlText w:val=""/>
      <w:lvlJc w:val="left"/>
      <w:pPr>
        <w:ind w:left="6480" w:hanging="360"/>
      </w:pPr>
      <w:rPr>
        <w:rFonts w:ascii="Wingdings" w:hAnsi="Wingdings" w:hint="default"/>
      </w:rPr>
    </w:lvl>
  </w:abstractNum>
  <w:abstractNum w:abstractNumId="2" w15:restartNumberingAfterBreak="0">
    <w:nsid w:val="4AEB4EC0"/>
    <w:multiLevelType w:val="hybridMultilevel"/>
    <w:tmpl w:val="A46A233C"/>
    <w:lvl w:ilvl="0" w:tplc="497EB900">
      <w:start w:val="1"/>
      <w:numFmt w:val="bullet"/>
      <w:lvlText w:val=""/>
      <w:lvlJc w:val="left"/>
      <w:pPr>
        <w:tabs>
          <w:tab w:val="num" w:pos="720"/>
        </w:tabs>
        <w:ind w:left="720" w:hanging="360"/>
      </w:pPr>
      <w:rPr>
        <w:rFonts w:ascii="Symbol" w:hAnsi="Symbol" w:hint="default"/>
      </w:rPr>
    </w:lvl>
    <w:lvl w:ilvl="1" w:tplc="CF5A2ACE" w:tentative="1">
      <w:start w:val="1"/>
      <w:numFmt w:val="bullet"/>
      <w:lvlText w:val="o"/>
      <w:lvlJc w:val="left"/>
      <w:pPr>
        <w:ind w:left="1440" w:hanging="360"/>
      </w:pPr>
      <w:rPr>
        <w:rFonts w:ascii="Courier New" w:hAnsi="Courier New" w:cs="Courier New" w:hint="default"/>
      </w:rPr>
    </w:lvl>
    <w:lvl w:ilvl="2" w:tplc="70E80572" w:tentative="1">
      <w:start w:val="1"/>
      <w:numFmt w:val="bullet"/>
      <w:lvlText w:val=""/>
      <w:lvlJc w:val="left"/>
      <w:pPr>
        <w:ind w:left="2160" w:hanging="360"/>
      </w:pPr>
      <w:rPr>
        <w:rFonts w:ascii="Wingdings" w:hAnsi="Wingdings" w:hint="default"/>
      </w:rPr>
    </w:lvl>
    <w:lvl w:ilvl="3" w:tplc="37D2C9C6" w:tentative="1">
      <w:start w:val="1"/>
      <w:numFmt w:val="bullet"/>
      <w:lvlText w:val=""/>
      <w:lvlJc w:val="left"/>
      <w:pPr>
        <w:ind w:left="2880" w:hanging="360"/>
      </w:pPr>
      <w:rPr>
        <w:rFonts w:ascii="Symbol" w:hAnsi="Symbol" w:hint="default"/>
      </w:rPr>
    </w:lvl>
    <w:lvl w:ilvl="4" w:tplc="4948B494" w:tentative="1">
      <w:start w:val="1"/>
      <w:numFmt w:val="bullet"/>
      <w:lvlText w:val="o"/>
      <w:lvlJc w:val="left"/>
      <w:pPr>
        <w:ind w:left="3600" w:hanging="360"/>
      </w:pPr>
      <w:rPr>
        <w:rFonts w:ascii="Courier New" w:hAnsi="Courier New" w:cs="Courier New" w:hint="default"/>
      </w:rPr>
    </w:lvl>
    <w:lvl w:ilvl="5" w:tplc="3F40EF88" w:tentative="1">
      <w:start w:val="1"/>
      <w:numFmt w:val="bullet"/>
      <w:lvlText w:val=""/>
      <w:lvlJc w:val="left"/>
      <w:pPr>
        <w:ind w:left="4320" w:hanging="360"/>
      </w:pPr>
      <w:rPr>
        <w:rFonts w:ascii="Wingdings" w:hAnsi="Wingdings" w:hint="default"/>
      </w:rPr>
    </w:lvl>
    <w:lvl w:ilvl="6" w:tplc="C15A4590" w:tentative="1">
      <w:start w:val="1"/>
      <w:numFmt w:val="bullet"/>
      <w:lvlText w:val=""/>
      <w:lvlJc w:val="left"/>
      <w:pPr>
        <w:ind w:left="5040" w:hanging="360"/>
      </w:pPr>
      <w:rPr>
        <w:rFonts w:ascii="Symbol" w:hAnsi="Symbol" w:hint="default"/>
      </w:rPr>
    </w:lvl>
    <w:lvl w:ilvl="7" w:tplc="FC087964" w:tentative="1">
      <w:start w:val="1"/>
      <w:numFmt w:val="bullet"/>
      <w:lvlText w:val="o"/>
      <w:lvlJc w:val="left"/>
      <w:pPr>
        <w:ind w:left="5760" w:hanging="360"/>
      </w:pPr>
      <w:rPr>
        <w:rFonts w:ascii="Courier New" w:hAnsi="Courier New" w:cs="Courier New" w:hint="default"/>
      </w:rPr>
    </w:lvl>
    <w:lvl w:ilvl="8" w:tplc="5F6297CA" w:tentative="1">
      <w:start w:val="1"/>
      <w:numFmt w:val="bullet"/>
      <w:lvlText w:val=""/>
      <w:lvlJc w:val="left"/>
      <w:pPr>
        <w:ind w:left="6480" w:hanging="360"/>
      </w:pPr>
      <w:rPr>
        <w:rFonts w:ascii="Wingdings" w:hAnsi="Wingdings" w:hint="default"/>
      </w:rPr>
    </w:lvl>
  </w:abstractNum>
  <w:abstractNum w:abstractNumId="3" w15:restartNumberingAfterBreak="0">
    <w:nsid w:val="688B7CB9"/>
    <w:multiLevelType w:val="hybridMultilevel"/>
    <w:tmpl w:val="39C235EA"/>
    <w:lvl w:ilvl="0" w:tplc="1AEC1C0C">
      <w:start w:val="1"/>
      <w:numFmt w:val="bullet"/>
      <w:lvlText w:val=""/>
      <w:lvlJc w:val="left"/>
      <w:pPr>
        <w:tabs>
          <w:tab w:val="num" w:pos="720"/>
        </w:tabs>
        <w:ind w:left="720" w:hanging="360"/>
      </w:pPr>
      <w:rPr>
        <w:rFonts w:ascii="Symbol" w:hAnsi="Symbol" w:hint="default"/>
      </w:rPr>
    </w:lvl>
    <w:lvl w:ilvl="1" w:tplc="79089BCE" w:tentative="1">
      <w:start w:val="1"/>
      <w:numFmt w:val="bullet"/>
      <w:lvlText w:val="o"/>
      <w:lvlJc w:val="left"/>
      <w:pPr>
        <w:ind w:left="1440" w:hanging="360"/>
      </w:pPr>
      <w:rPr>
        <w:rFonts w:ascii="Courier New" w:hAnsi="Courier New" w:cs="Courier New" w:hint="default"/>
      </w:rPr>
    </w:lvl>
    <w:lvl w:ilvl="2" w:tplc="DE786644" w:tentative="1">
      <w:start w:val="1"/>
      <w:numFmt w:val="bullet"/>
      <w:lvlText w:val=""/>
      <w:lvlJc w:val="left"/>
      <w:pPr>
        <w:ind w:left="2160" w:hanging="360"/>
      </w:pPr>
      <w:rPr>
        <w:rFonts w:ascii="Wingdings" w:hAnsi="Wingdings" w:hint="default"/>
      </w:rPr>
    </w:lvl>
    <w:lvl w:ilvl="3" w:tplc="A64AF5F8" w:tentative="1">
      <w:start w:val="1"/>
      <w:numFmt w:val="bullet"/>
      <w:lvlText w:val=""/>
      <w:lvlJc w:val="left"/>
      <w:pPr>
        <w:ind w:left="2880" w:hanging="360"/>
      </w:pPr>
      <w:rPr>
        <w:rFonts w:ascii="Symbol" w:hAnsi="Symbol" w:hint="default"/>
      </w:rPr>
    </w:lvl>
    <w:lvl w:ilvl="4" w:tplc="DCD681B6" w:tentative="1">
      <w:start w:val="1"/>
      <w:numFmt w:val="bullet"/>
      <w:lvlText w:val="o"/>
      <w:lvlJc w:val="left"/>
      <w:pPr>
        <w:ind w:left="3600" w:hanging="360"/>
      </w:pPr>
      <w:rPr>
        <w:rFonts w:ascii="Courier New" w:hAnsi="Courier New" w:cs="Courier New" w:hint="default"/>
      </w:rPr>
    </w:lvl>
    <w:lvl w:ilvl="5" w:tplc="804ED8A0" w:tentative="1">
      <w:start w:val="1"/>
      <w:numFmt w:val="bullet"/>
      <w:lvlText w:val=""/>
      <w:lvlJc w:val="left"/>
      <w:pPr>
        <w:ind w:left="4320" w:hanging="360"/>
      </w:pPr>
      <w:rPr>
        <w:rFonts w:ascii="Wingdings" w:hAnsi="Wingdings" w:hint="default"/>
      </w:rPr>
    </w:lvl>
    <w:lvl w:ilvl="6" w:tplc="FFA4D612" w:tentative="1">
      <w:start w:val="1"/>
      <w:numFmt w:val="bullet"/>
      <w:lvlText w:val=""/>
      <w:lvlJc w:val="left"/>
      <w:pPr>
        <w:ind w:left="5040" w:hanging="360"/>
      </w:pPr>
      <w:rPr>
        <w:rFonts w:ascii="Symbol" w:hAnsi="Symbol" w:hint="default"/>
      </w:rPr>
    </w:lvl>
    <w:lvl w:ilvl="7" w:tplc="F98AD1C8" w:tentative="1">
      <w:start w:val="1"/>
      <w:numFmt w:val="bullet"/>
      <w:lvlText w:val="o"/>
      <w:lvlJc w:val="left"/>
      <w:pPr>
        <w:ind w:left="5760" w:hanging="360"/>
      </w:pPr>
      <w:rPr>
        <w:rFonts w:ascii="Courier New" w:hAnsi="Courier New" w:cs="Courier New" w:hint="default"/>
      </w:rPr>
    </w:lvl>
    <w:lvl w:ilvl="8" w:tplc="847AA44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12"/>
    <w:rsid w:val="00017112"/>
    <w:rsid w:val="0026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B8E9C0-6122-46A6-9AEF-F3F30763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50878"/>
    <w:rPr>
      <w:sz w:val="16"/>
      <w:szCs w:val="16"/>
    </w:rPr>
  </w:style>
  <w:style w:type="paragraph" w:styleId="CommentText">
    <w:name w:val="annotation text"/>
    <w:basedOn w:val="Normal"/>
    <w:link w:val="CommentTextChar"/>
    <w:semiHidden/>
    <w:unhideWhenUsed/>
    <w:rsid w:val="00D50878"/>
    <w:rPr>
      <w:sz w:val="20"/>
      <w:szCs w:val="20"/>
    </w:rPr>
  </w:style>
  <w:style w:type="character" w:customStyle="1" w:styleId="CommentTextChar">
    <w:name w:val="Comment Text Char"/>
    <w:basedOn w:val="DefaultParagraphFont"/>
    <w:link w:val="CommentText"/>
    <w:semiHidden/>
    <w:rsid w:val="00D50878"/>
  </w:style>
  <w:style w:type="paragraph" w:styleId="ListParagraph">
    <w:name w:val="List Paragraph"/>
    <w:basedOn w:val="Normal"/>
    <w:uiPriority w:val="34"/>
    <w:qFormat/>
    <w:rsid w:val="00D50878"/>
    <w:pPr>
      <w:ind w:left="720"/>
      <w:contextualSpacing/>
    </w:pPr>
  </w:style>
  <w:style w:type="character" w:styleId="Hyperlink">
    <w:name w:val="Hyperlink"/>
    <w:basedOn w:val="DefaultParagraphFont"/>
    <w:unhideWhenUsed/>
    <w:rsid w:val="00D50878"/>
    <w:rPr>
      <w:color w:val="0000FF" w:themeColor="hyperlink"/>
      <w:u w:val="single"/>
    </w:rPr>
  </w:style>
  <w:style w:type="paragraph" w:styleId="CommentSubject">
    <w:name w:val="annotation subject"/>
    <w:basedOn w:val="CommentText"/>
    <w:next w:val="CommentText"/>
    <w:link w:val="CommentSubjectChar"/>
    <w:semiHidden/>
    <w:unhideWhenUsed/>
    <w:rsid w:val="00461AE6"/>
    <w:rPr>
      <w:b/>
      <w:bCs/>
    </w:rPr>
  </w:style>
  <w:style w:type="character" w:customStyle="1" w:styleId="CommentSubjectChar">
    <w:name w:val="Comment Subject Char"/>
    <w:basedOn w:val="CommentTextChar"/>
    <w:link w:val="CommentSubject"/>
    <w:semiHidden/>
    <w:rsid w:val="00461AE6"/>
    <w:rPr>
      <w:b/>
      <w:bCs/>
    </w:rPr>
  </w:style>
  <w:style w:type="character" w:styleId="FollowedHyperlink">
    <w:name w:val="FollowedHyperlink"/>
    <w:basedOn w:val="DefaultParagraphFont"/>
    <w:semiHidden/>
    <w:unhideWhenUsed/>
    <w:rsid w:val="00D743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6966</Characters>
  <Application>Microsoft Office Word</Application>
  <DocSecurity>4</DocSecurity>
  <Lines>146</Lines>
  <Paragraphs>44</Paragraphs>
  <ScaleCrop>false</ScaleCrop>
  <HeadingPairs>
    <vt:vector size="2" baseType="variant">
      <vt:variant>
        <vt:lpstr>Title</vt:lpstr>
      </vt:variant>
      <vt:variant>
        <vt:i4>1</vt:i4>
      </vt:variant>
    </vt:vector>
  </HeadingPairs>
  <TitlesOfParts>
    <vt:vector size="1" baseType="lpstr">
      <vt:lpstr>BA - SB01337 (Committee Report (Substituted))</vt:lpstr>
    </vt:vector>
  </TitlesOfParts>
  <Company>State of Texas</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28322</dc:subject>
  <dc:creator>State of Texas</dc:creator>
  <dc:description>SB 1337 by Huffman-(H)Pensions, Investments &amp; Financial Services (Substitute Document Number: 86R 24648)</dc:description>
  <cp:lastModifiedBy>Erin Conway</cp:lastModifiedBy>
  <cp:revision>2</cp:revision>
  <cp:lastPrinted>2003-11-26T17:21:00Z</cp:lastPrinted>
  <dcterms:created xsi:type="dcterms:W3CDTF">2019-04-18T18:18:00Z</dcterms:created>
  <dcterms:modified xsi:type="dcterms:W3CDTF">2019-04-18T18:18:00Z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19.107.1174</vt:lpwstr>
  </property>
</Properties>
</file>