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25289" w:rsidTr="00345119">
        <w:tc>
          <w:tcPr>
            <w:tcW w:w="9576" w:type="dxa"/>
            <w:noWrap/>
          </w:tcPr>
          <w:p w:rsidR="008423E4" w:rsidRPr="0022177D" w:rsidRDefault="00BD69C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D69C7" w:rsidP="008423E4">
      <w:pPr>
        <w:jc w:val="center"/>
      </w:pPr>
    </w:p>
    <w:p w:rsidR="008423E4" w:rsidRPr="00B31F0E" w:rsidRDefault="00BD69C7" w:rsidP="008423E4"/>
    <w:p w:rsidR="008423E4" w:rsidRPr="00742794" w:rsidRDefault="00BD69C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25289" w:rsidTr="00345119">
        <w:tc>
          <w:tcPr>
            <w:tcW w:w="9576" w:type="dxa"/>
          </w:tcPr>
          <w:p w:rsidR="008423E4" w:rsidRPr="00861995" w:rsidRDefault="00BD69C7" w:rsidP="00345119">
            <w:pPr>
              <w:jc w:val="right"/>
            </w:pPr>
            <w:r>
              <w:t>S.B. 1349</w:t>
            </w:r>
          </w:p>
        </w:tc>
      </w:tr>
      <w:tr w:rsidR="00725289" w:rsidTr="00345119">
        <w:tc>
          <w:tcPr>
            <w:tcW w:w="9576" w:type="dxa"/>
          </w:tcPr>
          <w:p w:rsidR="008423E4" w:rsidRPr="00861995" w:rsidRDefault="00BD69C7" w:rsidP="00456037">
            <w:pPr>
              <w:jc w:val="right"/>
            </w:pPr>
            <w:r>
              <w:t xml:space="preserve">By: </w:t>
            </w:r>
            <w:r>
              <w:t>Watson</w:t>
            </w:r>
          </w:p>
        </w:tc>
      </w:tr>
      <w:tr w:rsidR="00725289" w:rsidTr="00345119">
        <w:tc>
          <w:tcPr>
            <w:tcW w:w="9576" w:type="dxa"/>
          </w:tcPr>
          <w:p w:rsidR="008423E4" w:rsidRPr="00861995" w:rsidRDefault="00BD69C7" w:rsidP="00345119">
            <w:pPr>
              <w:jc w:val="right"/>
            </w:pPr>
            <w:r>
              <w:t>Land &amp; Resource Management</w:t>
            </w:r>
          </w:p>
        </w:tc>
      </w:tr>
      <w:tr w:rsidR="00725289" w:rsidTr="00345119">
        <w:tc>
          <w:tcPr>
            <w:tcW w:w="9576" w:type="dxa"/>
          </w:tcPr>
          <w:p w:rsidR="008423E4" w:rsidRDefault="00BD69C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D69C7" w:rsidP="008423E4">
      <w:pPr>
        <w:tabs>
          <w:tab w:val="right" w:pos="9360"/>
        </w:tabs>
      </w:pPr>
    </w:p>
    <w:p w:rsidR="008423E4" w:rsidRDefault="00BD69C7" w:rsidP="008423E4"/>
    <w:p w:rsidR="008423E4" w:rsidRDefault="00BD69C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25289" w:rsidTr="00345119">
        <w:tc>
          <w:tcPr>
            <w:tcW w:w="9576" w:type="dxa"/>
          </w:tcPr>
          <w:p w:rsidR="008423E4" w:rsidRPr="00A8133F" w:rsidRDefault="00BD69C7" w:rsidP="00F5657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D69C7" w:rsidP="00F56575"/>
          <w:p w:rsidR="008423E4" w:rsidRDefault="00BD69C7" w:rsidP="00F56575">
            <w:pPr>
              <w:pStyle w:val="Header"/>
              <w:jc w:val="both"/>
            </w:pPr>
            <w:r>
              <w:t>The William P. Hobby building was built in 1984</w:t>
            </w:r>
            <w:r>
              <w:t xml:space="preserve"> </w:t>
            </w:r>
            <w:r>
              <w:t xml:space="preserve">when building technologies and standards were significantly less demanding than today. The Texas Facilities Commission estimates that the building requires at least $49.6 million in repairs for known deficiencies and has requested </w:t>
            </w:r>
            <w:r>
              <w:t xml:space="preserve">some </w:t>
            </w:r>
            <w:r>
              <w:t xml:space="preserve">$19 million for the </w:t>
            </w:r>
            <w:r>
              <w:t>coming state fiscal biennium to address priority safety needs, including fire protection</w:t>
            </w:r>
            <w:r>
              <w:t>,</w:t>
            </w:r>
            <w:r>
              <w:t xml:space="preserve"> security systems updates</w:t>
            </w:r>
            <w:r>
              <w:t>,</w:t>
            </w:r>
            <w:r>
              <w:t xml:space="preserve"> and failing cast iron plumbing. </w:t>
            </w:r>
            <w:r>
              <w:t>S.B. 1349</w:t>
            </w:r>
            <w:r>
              <w:t xml:space="preserve"> seeks to authorize the sale of the building due to </w:t>
            </w:r>
            <w:r>
              <w:t xml:space="preserve">its </w:t>
            </w:r>
            <w:r>
              <w:t>poor condition, significant maintenance obl</w:t>
            </w:r>
            <w:r>
              <w:t>igations, and increasing annual investments necessary to maintain habitability.</w:t>
            </w:r>
          </w:p>
          <w:p w:rsidR="008423E4" w:rsidRPr="00E26B13" w:rsidRDefault="00BD69C7" w:rsidP="00F56575">
            <w:pPr>
              <w:rPr>
                <w:b/>
              </w:rPr>
            </w:pPr>
          </w:p>
        </w:tc>
      </w:tr>
      <w:tr w:rsidR="00725289" w:rsidTr="00345119">
        <w:tc>
          <w:tcPr>
            <w:tcW w:w="9576" w:type="dxa"/>
          </w:tcPr>
          <w:p w:rsidR="0017725B" w:rsidRDefault="00BD69C7" w:rsidP="00F5657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D69C7" w:rsidP="00F56575">
            <w:pPr>
              <w:rPr>
                <w:b/>
                <w:u w:val="single"/>
              </w:rPr>
            </w:pPr>
          </w:p>
          <w:p w:rsidR="007245FC" w:rsidRPr="007245FC" w:rsidRDefault="00BD69C7" w:rsidP="00F56575">
            <w:pPr>
              <w:jc w:val="both"/>
            </w:pPr>
            <w:r>
              <w:t>It is the committee's opinion that this bill does not expressly create a criminal offense, increase the punishment for an existing criminal offense o</w:t>
            </w:r>
            <w:r>
              <w:t>r category of offenses, or change the eligibility of a person for community supervision, parole, or mandatory supervision.</w:t>
            </w:r>
          </w:p>
          <w:p w:rsidR="0017725B" w:rsidRPr="0017725B" w:rsidRDefault="00BD69C7" w:rsidP="00F56575">
            <w:pPr>
              <w:rPr>
                <w:b/>
                <w:u w:val="single"/>
              </w:rPr>
            </w:pPr>
          </w:p>
        </w:tc>
      </w:tr>
      <w:tr w:rsidR="00725289" w:rsidTr="00345119">
        <w:tc>
          <w:tcPr>
            <w:tcW w:w="9576" w:type="dxa"/>
          </w:tcPr>
          <w:p w:rsidR="008423E4" w:rsidRPr="00A8133F" w:rsidRDefault="00BD69C7" w:rsidP="00F5657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D69C7" w:rsidP="00F56575"/>
          <w:p w:rsidR="007245FC" w:rsidRDefault="00BD69C7" w:rsidP="00F5657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</w:t>
            </w:r>
            <w:r>
              <w:t xml:space="preserve"> a state officer, department, agency, or institution.</w:t>
            </w:r>
          </w:p>
          <w:p w:rsidR="008423E4" w:rsidRPr="00E21FDC" w:rsidRDefault="00BD69C7" w:rsidP="00F56575">
            <w:pPr>
              <w:rPr>
                <w:b/>
              </w:rPr>
            </w:pPr>
          </w:p>
        </w:tc>
      </w:tr>
      <w:tr w:rsidR="00725289" w:rsidTr="00345119">
        <w:tc>
          <w:tcPr>
            <w:tcW w:w="9576" w:type="dxa"/>
          </w:tcPr>
          <w:p w:rsidR="008423E4" w:rsidRPr="00A8133F" w:rsidRDefault="00BD69C7" w:rsidP="00F5657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D69C7" w:rsidP="00F56575"/>
          <w:p w:rsidR="008423E4" w:rsidRDefault="00BD69C7" w:rsidP="00F5657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1349</w:t>
            </w:r>
            <w:r>
              <w:t xml:space="preserve"> authorizes the Texas Facilities Commission (TFC)</w:t>
            </w:r>
            <w:r>
              <w:t xml:space="preserve"> to convey</w:t>
            </w:r>
            <w:r>
              <w:t xml:space="preserve"> </w:t>
            </w:r>
            <w:r w:rsidRPr="007245FC">
              <w:t xml:space="preserve">on </w:t>
            </w:r>
            <w:r>
              <w:t xml:space="preserve">the state's </w:t>
            </w:r>
            <w:r w:rsidRPr="007245FC">
              <w:t xml:space="preserve">behalf </w:t>
            </w:r>
            <w:r>
              <w:t>certain</w:t>
            </w:r>
            <w:r w:rsidRPr="007245FC">
              <w:t xml:space="preserve"> </w:t>
            </w:r>
            <w:r w:rsidRPr="007245FC">
              <w:t xml:space="preserve">real property </w:t>
            </w:r>
            <w:r>
              <w:t>in the city of Austin</w:t>
            </w:r>
            <w:r w:rsidRPr="007245FC">
              <w:t>.</w:t>
            </w:r>
            <w:r>
              <w:t xml:space="preserve"> </w:t>
            </w:r>
            <w:r>
              <w:t>The bill provides the description</w:t>
            </w:r>
            <w:r>
              <w:t xml:space="preserve"> of the applicable real property and</w:t>
            </w:r>
            <w:r>
              <w:t xml:space="preserve"> prohibits </w:t>
            </w:r>
            <w:r>
              <w:t>the</w:t>
            </w:r>
            <w:r>
              <w:t xml:space="preserve"> property from being </w:t>
            </w:r>
            <w:r w:rsidRPr="007245FC">
              <w:t xml:space="preserve">conveyed for an amount less than the </w:t>
            </w:r>
            <w:r>
              <w:t xml:space="preserve">property's </w:t>
            </w:r>
            <w:r w:rsidRPr="007245FC">
              <w:t>fair market value</w:t>
            </w:r>
            <w:r>
              <w:t>,</w:t>
            </w:r>
            <w:r w:rsidRPr="007245FC">
              <w:t xml:space="preserve"> </w:t>
            </w:r>
            <w:r>
              <w:t xml:space="preserve">which is </w:t>
            </w:r>
            <w:r>
              <w:t>to</w:t>
            </w:r>
            <w:r w:rsidRPr="007245FC">
              <w:t xml:space="preserve"> be established by an independent appraisal obtained by the asset management division of the General Land O</w:t>
            </w:r>
            <w:r w:rsidRPr="007245FC">
              <w:t>ffice</w:t>
            </w:r>
            <w:r>
              <w:t xml:space="preserve"> (GLO)</w:t>
            </w:r>
            <w:r w:rsidRPr="007245FC">
              <w:t>.</w:t>
            </w:r>
            <w:r>
              <w:t xml:space="preserve"> </w:t>
            </w:r>
            <w:r>
              <w:t xml:space="preserve">The bill </w:t>
            </w:r>
            <w:r>
              <w:t>requires</w:t>
            </w:r>
            <w:r>
              <w:t xml:space="preserve"> </w:t>
            </w:r>
            <w:r>
              <w:t>the GLO to</w:t>
            </w:r>
            <w:r w:rsidRPr="007245FC">
              <w:t xml:space="preserve"> negotiate and close </w:t>
            </w:r>
            <w:r>
              <w:t>the</w:t>
            </w:r>
            <w:r w:rsidRPr="007245FC">
              <w:t xml:space="preserve"> </w:t>
            </w:r>
            <w:r w:rsidRPr="007245FC">
              <w:t xml:space="preserve">transaction on </w:t>
            </w:r>
            <w:r>
              <w:t xml:space="preserve">TFC's </w:t>
            </w:r>
            <w:r w:rsidRPr="007245FC">
              <w:t>behalf</w:t>
            </w:r>
            <w:r>
              <w:t>,</w:t>
            </w:r>
            <w:r>
              <w:t xml:space="preserve"> requires the sale to comply with</w:t>
            </w:r>
            <w:r>
              <w:t xml:space="preserve"> certain specified</w:t>
            </w:r>
            <w:r>
              <w:t xml:space="preserve"> federal </w:t>
            </w:r>
            <w:r>
              <w:t xml:space="preserve">regulations, and establishes that </w:t>
            </w:r>
            <w:r>
              <w:t>such compliance requirement prevails to the extent of any conflict w</w:t>
            </w:r>
            <w:r>
              <w:t>ith another of the bill's provisions or any other law</w:t>
            </w:r>
            <w:r>
              <w:t>.</w:t>
            </w:r>
          </w:p>
          <w:p w:rsidR="008423E4" w:rsidRPr="00835628" w:rsidRDefault="00BD69C7" w:rsidP="00F56575">
            <w:pPr>
              <w:rPr>
                <w:b/>
              </w:rPr>
            </w:pPr>
          </w:p>
        </w:tc>
      </w:tr>
      <w:tr w:rsidR="00725289" w:rsidTr="00345119">
        <w:tc>
          <w:tcPr>
            <w:tcW w:w="9576" w:type="dxa"/>
          </w:tcPr>
          <w:p w:rsidR="008423E4" w:rsidRPr="00A8133F" w:rsidRDefault="00BD69C7" w:rsidP="00F5657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D69C7" w:rsidP="00F56575"/>
          <w:p w:rsidR="008423E4" w:rsidRPr="003624F2" w:rsidRDefault="00BD69C7" w:rsidP="00F5657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BD69C7" w:rsidP="00F56575">
            <w:pPr>
              <w:rPr>
                <w:b/>
              </w:rPr>
            </w:pPr>
          </w:p>
        </w:tc>
      </w:tr>
      <w:tr w:rsidR="00725289" w:rsidTr="00345119">
        <w:tc>
          <w:tcPr>
            <w:tcW w:w="9576" w:type="dxa"/>
          </w:tcPr>
          <w:p w:rsidR="00E24256" w:rsidRPr="00AF4922" w:rsidRDefault="00BD69C7" w:rsidP="00F56575">
            <w:pPr>
              <w:jc w:val="both"/>
            </w:pPr>
          </w:p>
        </w:tc>
      </w:tr>
      <w:tr w:rsidR="00725289" w:rsidTr="00345119">
        <w:tc>
          <w:tcPr>
            <w:tcW w:w="9576" w:type="dxa"/>
          </w:tcPr>
          <w:p w:rsidR="00B318A8" w:rsidRDefault="00BD69C7" w:rsidP="00F56575">
            <w:pPr>
              <w:jc w:val="both"/>
            </w:pPr>
          </w:p>
          <w:p w:rsidR="002B1CCC" w:rsidRPr="009C1E9A" w:rsidRDefault="00BD69C7" w:rsidP="00F56575">
            <w:pPr>
              <w:rPr>
                <w:b/>
                <w:u w:val="single"/>
              </w:rPr>
            </w:pPr>
          </w:p>
        </w:tc>
      </w:tr>
      <w:tr w:rsidR="00725289" w:rsidTr="00345119">
        <w:tc>
          <w:tcPr>
            <w:tcW w:w="9576" w:type="dxa"/>
          </w:tcPr>
          <w:p w:rsidR="002B1CCC" w:rsidRPr="002B1CCC" w:rsidRDefault="00BD69C7" w:rsidP="00F56575">
            <w:pPr>
              <w:jc w:val="both"/>
            </w:pPr>
          </w:p>
        </w:tc>
      </w:tr>
    </w:tbl>
    <w:p w:rsidR="008423E4" w:rsidRPr="00BE0E75" w:rsidRDefault="00BD69C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D69C7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D69C7">
      <w:r>
        <w:separator/>
      </w:r>
    </w:p>
  </w:endnote>
  <w:endnote w:type="continuationSeparator" w:id="0">
    <w:p w:rsidR="00000000" w:rsidRDefault="00BD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D69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25289" w:rsidTr="009C1E9A">
      <w:trPr>
        <w:cantSplit/>
      </w:trPr>
      <w:tc>
        <w:tcPr>
          <w:tcW w:w="0" w:type="pct"/>
        </w:tcPr>
        <w:p w:rsidR="00137D90" w:rsidRDefault="00BD69C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D69C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D69C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D69C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D69C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25289" w:rsidTr="009C1E9A">
      <w:trPr>
        <w:cantSplit/>
      </w:trPr>
      <w:tc>
        <w:tcPr>
          <w:tcW w:w="0" w:type="pct"/>
        </w:tcPr>
        <w:p w:rsidR="00EC379B" w:rsidRDefault="00BD69C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D69C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86R </w:t>
          </w:r>
          <w:r>
            <w:rPr>
              <w:rFonts w:ascii="Shruti" w:hAnsi="Shruti"/>
              <w:sz w:val="22"/>
            </w:rPr>
            <w:t>31809</w:t>
          </w:r>
        </w:p>
      </w:tc>
      <w:tc>
        <w:tcPr>
          <w:tcW w:w="2453" w:type="pct"/>
        </w:tcPr>
        <w:p w:rsidR="00EC379B" w:rsidRDefault="00BD69C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19.123.1087</w:t>
          </w:r>
          <w:r>
            <w:fldChar w:fldCharType="end"/>
          </w:r>
        </w:p>
      </w:tc>
    </w:tr>
    <w:tr w:rsidR="00725289" w:rsidTr="009C1E9A">
      <w:trPr>
        <w:cantSplit/>
      </w:trPr>
      <w:tc>
        <w:tcPr>
          <w:tcW w:w="0" w:type="pct"/>
        </w:tcPr>
        <w:p w:rsidR="00EC379B" w:rsidRDefault="00BD69C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D69C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D69C7" w:rsidP="006D504F">
          <w:pPr>
            <w:pStyle w:val="Footer"/>
            <w:rPr>
              <w:rStyle w:val="PageNumber"/>
            </w:rPr>
          </w:pPr>
        </w:p>
        <w:p w:rsidR="00EC379B" w:rsidRDefault="00BD69C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2528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D69C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D69C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D69C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D69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D69C7">
      <w:r>
        <w:separator/>
      </w:r>
    </w:p>
  </w:footnote>
  <w:footnote w:type="continuationSeparator" w:id="0">
    <w:p w:rsidR="00000000" w:rsidRDefault="00BD6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D69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D69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D69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289"/>
    <w:rsid w:val="00725289"/>
    <w:rsid w:val="00BD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A300342-4A63-40A7-88DF-69C04917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245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245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245F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245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245FC"/>
    <w:rPr>
      <w:b/>
      <w:bCs/>
    </w:rPr>
  </w:style>
  <w:style w:type="paragraph" w:styleId="Revision">
    <w:name w:val="Revision"/>
    <w:hidden/>
    <w:uiPriority w:val="99"/>
    <w:semiHidden/>
    <w:rsid w:val="00403D45"/>
    <w:rPr>
      <w:sz w:val="24"/>
      <w:szCs w:val="24"/>
    </w:rPr>
  </w:style>
  <w:style w:type="character" w:styleId="Hyperlink">
    <w:name w:val="Hyperlink"/>
    <w:basedOn w:val="DefaultParagraphFont"/>
    <w:unhideWhenUsed/>
    <w:rsid w:val="00403D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1764</Characters>
  <Application>Microsoft Office Word</Application>
  <DocSecurity>4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SB01349 (Committee Report (Unamended))</vt:lpstr>
    </vt:vector>
  </TitlesOfParts>
  <Company>State of Texas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31809</dc:subject>
  <dc:creator>State of Texas</dc:creator>
  <dc:description>SB 1349 by Watson-(H)Land &amp; Resource Management</dc:description>
  <cp:lastModifiedBy>Scotty Wimberley</cp:lastModifiedBy>
  <cp:revision>2</cp:revision>
  <cp:lastPrinted>2003-11-26T17:21:00Z</cp:lastPrinted>
  <dcterms:created xsi:type="dcterms:W3CDTF">2019-05-05T20:30:00Z</dcterms:created>
  <dcterms:modified xsi:type="dcterms:W3CDTF">2019-05-05T20:30:00Z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19.123.1087</vt:lpwstr>
  </property>
</Properties>
</file>