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62E29" w:rsidTr="00345119">
        <w:tc>
          <w:tcPr>
            <w:tcW w:w="9576" w:type="dxa"/>
            <w:noWrap/>
          </w:tcPr>
          <w:p w:rsidR="008423E4" w:rsidRPr="0022177D" w:rsidRDefault="002908D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908D0" w:rsidP="008423E4">
      <w:pPr>
        <w:jc w:val="center"/>
      </w:pPr>
    </w:p>
    <w:p w:rsidR="008423E4" w:rsidRPr="00B31F0E" w:rsidRDefault="002908D0" w:rsidP="008423E4"/>
    <w:p w:rsidR="008423E4" w:rsidRPr="00742794" w:rsidRDefault="002908D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2E29" w:rsidTr="00345119">
        <w:tc>
          <w:tcPr>
            <w:tcW w:w="9576" w:type="dxa"/>
          </w:tcPr>
          <w:p w:rsidR="008423E4" w:rsidRPr="00861995" w:rsidRDefault="002908D0" w:rsidP="00345119">
            <w:pPr>
              <w:jc w:val="right"/>
            </w:pPr>
            <w:r>
              <w:t>S.B. 1367</w:t>
            </w:r>
          </w:p>
        </w:tc>
      </w:tr>
      <w:tr w:rsidR="00F62E29" w:rsidTr="00345119">
        <w:tc>
          <w:tcPr>
            <w:tcW w:w="9576" w:type="dxa"/>
          </w:tcPr>
          <w:p w:rsidR="008423E4" w:rsidRPr="00861995" w:rsidRDefault="002908D0" w:rsidP="00345119">
            <w:pPr>
              <w:jc w:val="right"/>
            </w:pPr>
            <w:r>
              <w:t xml:space="preserve">By: </w:t>
            </w:r>
            <w:r>
              <w:t>Buckingham</w:t>
            </w:r>
          </w:p>
        </w:tc>
      </w:tr>
      <w:tr w:rsidR="00F62E29" w:rsidTr="00345119">
        <w:tc>
          <w:tcPr>
            <w:tcW w:w="9576" w:type="dxa"/>
          </w:tcPr>
          <w:p w:rsidR="008423E4" w:rsidRPr="00861995" w:rsidRDefault="002908D0" w:rsidP="00345119">
            <w:pPr>
              <w:jc w:val="right"/>
            </w:pPr>
            <w:r>
              <w:t>Urban Affairs</w:t>
            </w:r>
          </w:p>
        </w:tc>
      </w:tr>
      <w:tr w:rsidR="00F62E29" w:rsidTr="00345119">
        <w:tc>
          <w:tcPr>
            <w:tcW w:w="9576" w:type="dxa"/>
          </w:tcPr>
          <w:p w:rsidR="008423E4" w:rsidRDefault="002908D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908D0" w:rsidP="008423E4">
      <w:pPr>
        <w:tabs>
          <w:tab w:val="right" w:pos="9360"/>
        </w:tabs>
      </w:pPr>
    </w:p>
    <w:p w:rsidR="008423E4" w:rsidRDefault="002908D0" w:rsidP="008423E4"/>
    <w:p w:rsidR="008423E4" w:rsidRDefault="002908D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62E29" w:rsidTr="00345119">
        <w:tc>
          <w:tcPr>
            <w:tcW w:w="9576" w:type="dxa"/>
          </w:tcPr>
          <w:p w:rsidR="008423E4" w:rsidRPr="00A8133F" w:rsidRDefault="002908D0" w:rsidP="008008D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908D0" w:rsidP="008008D1"/>
          <w:p w:rsidR="009B0CA8" w:rsidRDefault="002908D0" w:rsidP="008008D1">
            <w:pPr>
              <w:pStyle w:val="Header"/>
              <w:jc w:val="both"/>
            </w:pPr>
            <w:r>
              <w:t>It has been suggested that current law unnecessarily restricts a municipal development district</w:t>
            </w:r>
            <w:r>
              <w:t>'s</w:t>
            </w:r>
            <w:r>
              <w:t xml:space="preserve"> funding </w:t>
            </w:r>
            <w:r>
              <w:t xml:space="preserve">of </w:t>
            </w:r>
            <w:r>
              <w:t xml:space="preserve">certain economic development projects </w:t>
            </w:r>
            <w:r>
              <w:t>to projects in</w:t>
            </w:r>
            <w:r>
              <w:t xml:space="preserve"> the district's boundaries, even if a project</w:t>
            </w:r>
            <w:r>
              <w:t xml:space="preserve"> located outside the district</w:t>
            </w:r>
            <w:r>
              <w:t xml:space="preserve"> is determined to have a positive return on investment for the district. S.B. 1367 seeks to address this issue by authorizing a di</w:t>
            </w:r>
            <w:r>
              <w:t xml:space="preserve">strict to use money in its </w:t>
            </w:r>
            <w:r w:rsidRPr="009B0CA8">
              <w:t>development project fund</w:t>
            </w:r>
            <w:r>
              <w:t xml:space="preserve"> for a development project located outside the district under certain conditions.</w:t>
            </w:r>
          </w:p>
          <w:p w:rsidR="008423E4" w:rsidRPr="00E26B13" w:rsidRDefault="002908D0" w:rsidP="008008D1">
            <w:pPr>
              <w:pStyle w:val="Header"/>
              <w:jc w:val="both"/>
              <w:rPr>
                <w:b/>
              </w:rPr>
            </w:pPr>
          </w:p>
        </w:tc>
      </w:tr>
      <w:tr w:rsidR="00F62E29" w:rsidTr="00345119">
        <w:tc>
          <w:tcPr>
            <w:tcW w:w="9576" w:type="dxa"/>
          </w:tcPr>
          <w:p w:rsidR="0017725B" w:rsidRDefault="002908D0" w:rsidP="008008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908D0" w:rsidP="008008D1">
            <w:pPr>
              <w:rPr>
                <w:b/>
                <w:u w:val="single"/>
              </w:rPr>
            </w:pPr>
          </w:p>
          <w:p w:rsidR="000D3F39" w:rsidRPr="000D3F39" w:rsidRDefault="002908D0" w:rsidP="008008D1">
            <w:pPr>
              <w:jc w:val="both"/>
            </w:pPr>
            <w:r>
              <w:t>It is the committee's opinion that this bill does not expressly create a criminal offense, incre</w:t>
            </w:r>
            <w:r>
              <w:t>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908D0" w:rsidP="008008D1">
            <w:pPr>
              <w:rPr>
                <w:b/>
                <w:u w:val="single"/>
              </w:rPr>
            </w:pPr>
          </w:p>
        </w:tc>
      </w:tr>
      <w:tr w:rsidR="00F62E29" w:rsidTr="00345119">
        <w:tc>
          <w:tcPr>
            <w:tcW w:w="9576" w:type="dxa"/>
          </w:tcPr>
          <w:p w:rsidR="008423E4" w:rsidRPr="00A8133F" w:rsidRDefault="002908D0" w:rsidP="008008D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908D0" w:rsidP="008008D1"/>
          <w:p w:rsidR="000D3F39" w:rsidRDefault="002908D0" w:rsidP="008008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</w:t>
            </w:r>
            <w:r>
              <w:t>xpressly grant any additional rulemaking authority to a state officer, department, agency, or institution.</w:t>
            </w:r>
          </w:p>
          <w:p w:rsidR="008423E4" w:rsidRPr="00E21FDC" w:rsidRDefault="002908D0" w:rsidP="008008D1">
            <w:pPr>
              <w:rPr>
                <w:b/>
              </w:rPr>
            </w:pPr>
          </w:p>
        </w:tc>
      </w:tr>
      <w:tr w:rsidR="00F62E29" w:rsidTr="00345119">
        <w:tc>
          <w:tcPr>
            <w:tcW w:w="9576" w:type="dxa"/>
          </w:tcPr>
          <w:p w:rsidR="008423E4" w:rsidRPr="00A8133F" w:rsidRDefault="002908D0" w:rsidP="008008D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908D0" w:rsidP="008008D1"/>
          <w:p w:rsidR="000D3F39" w:rsidRDefault="002908D0" w:rsidP="008008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1367 amends the Local Government Code to </w:t>
            </w:r>
            <w:r>
              <w:t xml:space="preserve">authorize </w:t>
            </w:r>
            <w:r>
              <w:t xml:space="preserve">a municipal development district </w:t>
            </w:r>
            <w:r>
              <w:t>to use</w:t>
            </w:r>
            <w:r>
              <w:t xml:space="preserve"> money in </w:t>
            </w:r>
            <w:r>
              <w:t>its</w:t>
            </w:r>
            <w:r>
              <w:t xml:space="preserve"> development project fund </w:t>
            </w:r>
            <w:r>
              <w:t xml:space="preserve">to pay the costs of </w:t>
            </w:r>
            <w:r w:rsidRPr="00FA7F22">
              <w:t>planning, acquiring, establishing, developing, constructing, or renovating one or mo</w:t>
            </w:r>
            <w:r>
              <w:t xml:space="preserve">re development projects located outside the district if the </w:t>
            </w:r>
            <w:r>
              <w:t xml:space="preserve">district's </w:t>
            </w:r>
            <w:r>
              <w:t>board of directors determines that the project will provide an economic benefit t</w:t>
            </w:r>
            <w:r>
              <w:t xml:space="preserve">o the district and </w:t>
            </w:r>
            <w:r>
              <w:t xml:space="preserve">if </w:t>
            </w:r>
            <w:r>
              <w:t xml:space="preserve">the following entities, as applicable, </w:t>
            </w:r>
            <w:r>
              <w:t xml:space="preserve">by resolution </w:t>
            </w:r>
            <w:r>
              <w:t xml:space="preserve">approve the project: </w:t>
            </w:r>
          </w:p>
          <w:p w:rsidR="000D3F39" w:rsidRDefault="002908D0" w:rsidP="008008D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municipality that created the district;</w:t>
            </w:r>
          </w:p>
          <w:p w:rsidR="000D3F39" w:rsidRDefault="002908D0" w:rsidP="008008D1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each municipality in whose corporate limits or extraterritorial jurisdiction the project is located; and</w:t>
            </w:r>
          </w:p>
          <w:p w:rsidR="000D3F39" w:rsidRDefault="002908D0" w:rsidP="008008D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commis</w:t>
            </w:r>
            <w:r>
              <w:t>sioners court of the county in which the project is located, if the project is not located in the corporate limits or extraterritorial jurisdiction of a municipality.</w:t>
            </w:r>
          </w:p>
          <w:p w:rsidR="008423E4" w:rsidRPr="00835628" w:rsidRDefault="002908D0" w:rsidP="008008D1">
            <w:pPr>
              <w:rPr>
                <w:b/>
              </w:rPr>
            </w:pPr>
          </w:p>
        </w:tc>
      </w:tr>
      <w:tr w:rsidR="00F62E29" w:rsidTr="00345119">
        <w:tc>
          <w:tcPr>
            <w:tcW w:w="9576" w:type="dxa"/>
          </w:tcPr>
          <w:p w:rsidR="008423E4" w:rsidRPr="00A8133F" w:rsidRDefault="002908D0" w:rsidP="008008D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908D0" w:rsidP="008008D1"/>
          <w:p w:rsidR="008423E4" w:rsidRPr="003624F2" w:rsidRDefault="002908D0" w:rsidP="008008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</w:t>
            </w:r>
            <w:r>
              <w:t>mber 1, 2019.</w:t>
            </w:r>
          </w:p>
          <w:p w:rsidR="008423E4" w:rsidRPr="00233FDB" w:rsidRDefault="002908D0" w:rsidP="008008D1">
            <w:pPr>
              <w:rPr>
                <w:b/>
              </w:rPr>
            </w:pPr>
          </w:p>
        </w:tc>
      </w:tr>
    </w:tbl>
    <w:p w:rsidR="008423E4" w:rsidRPr="00BE0E75" w:rsidRDefault="002908D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908D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08D0">
      <w:r>
        <w:separator/>
      </w:r>
    </w:p>
  </w:endnote>
  <w:endnote w:type="continuationSeparator" w:id="0">
    <w:p w:rsidR="00000000" w:rsidRDefault="0029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0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2E29" w:rsidTr="009C1E9A">
      <w:trPr>
        <w:cantSplit/>
      </w:trPr>
      <w:tc>
        <w:tcPr>
          <w:tcW w:w="0" w:type="pct"/>
        </w:tcPr>
        <w:p w:rsidR="00137D90" w:rsidRDefault="002908D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908D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908D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908D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908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E29" w:rsidTr="009C1E9A">
      <w:trPr>
        <w:cantSplit/>
      </w:trPr>
      <w:tc>
        <w:tcPr>
          <w:tcW w:w="0" w:type="pct"/>
        </w:tcPr>
        <w:p w:rsidR="00EC379B" w:rsidRDefault="002908D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908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30253</w:t>
          </w:r>
        </w:p>
      </w:tc>
      <w:tc>
        <w:tcPr>
          <w:tcW w:w="2453" w:type="pct"/>
        </w:tcPr>
        <w:p w:rsidR="00EC379B" w:rsidRDefault="002908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19.119.145</w:t>
          </w:r>
          <w:r>
            <w:fldChar w:fldCharType="end"/>
          </w:r>
        </w:p>
      </w:tc>
    </w:tr>
    <w:tr w:rsidR="00F62E29" w:rsidTr="009C1E9A">
      <w:trPr>
        <w:cantSplit/>
      </w:trPr>
      <w:tc>
        <w:tcPr>
          <w:tcW w:w="0" w:type="pct"/>
        </w:tcPr>
        <w:p w:rsidR="00EC379B" w:rsidRDefault="002908D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908D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908D0" w:rsidP="006D504F">
          <w:pPr>
            <w:pStyle w:val="Footer"/>
            <w:rPr>
              <w:rStyle w:val="PageNumber"/>
            </w:rPr>
          </w:pPr>
        </w:p>
        <w:p w:rsidR="00EC379B" w:rsidRDefault="002908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E2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908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908D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908D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0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08D0">
      <w:r>
        <w:separator/>
      </w:r>
    </w:p>
  </w:footnote>
  <w:footnote w:type="continuationSeparator" w:id="0">
    <w:p w:rsidR="00000000" w:rsidRDefault="0029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0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0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90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50DC"/>
    <w:multiLevelType w:val="hybridMultilevel"/>
    <w:tmpl w:val="7D128086"/>
    <w:lvl w:ilvl="0" w:tplc="64AC8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D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EF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1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65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E6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6F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88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5435"/>
    <w:multiLevelType w:val="hybridMultilevel"/>
    <w:tmpl w:val="6A62CDD2"/>
    <w:lvl w:ilvl="0" w:tplc="618E0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8E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E6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9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4D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62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CD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05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05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29"/>
    <w:rsid w:val="002908D0"/>
    <w:rsid w:val="00F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682D5E-83CF-4CB0-86F7-B52C744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3F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3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3F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3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1708</Characters>
  <Application>Microsoft Office Word</Application>
  <DocSecurity>4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SB01367 (Committee Report (Unamended))</vt:lpstr>
    </vt:vector>
  </TitlesOfParts>
  <Company>State of Texas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30253</dc:subject>
  <dc:creator>State of Texas</dc:creator>
  <dc:description>SB 1367 by Buckingham-(H)Urban Affairs</dc:description>
  <cp:lastModifiedBy>Stacey Nicchio</cp:lastModifiedBy>
  <cp:revision>2</cp:revision>
  <cp:lastPrinted>2003-11-26T17:21:00Z</cp:lastPrinted>
  <dcterms:created xsi:type="dcterms:W3CDTF">2019-05-16T18:30:00Z</dcterms:created>
  <dcterms:modified xsi:type="dcterms:W3CDTF">2019-05-16T18:30:00Z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19.119.145</vt:lpwstr>
  </property>
</Properties>
</file>