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5B7F" w:rsidTr="00345119">
        <w:tc>
          <w:tcPr>
            <w:tcW w:w="9576" w:type="dxa"/>
            <w:noWrap/>
          </w:tcPr>
          <w:p w:rsidR="008423E4" w:rsidRPr="0022177D" w:rsidRDefault="00D3453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4536" w:rsidP="008423E4">
      <w:pPr>
        <w:jc w:val="center"/>
      </w:pPr>
    </w:p>
    <w:p w:rsidR="008423E4" w:rsidRPr="00B31F0E" w:rsidRDefault="00D34536" w:rsidP="008423E4"/>
    <w:p w:rsidR="008423E4" w:rsidRPr="00742794" w:rsidRDefault="00D3453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5B7F" w:rsidTr="00345119">
        <w:tc>
          <w:tcPr>
            <w:tcW w:w="9576" w:type="dxa"/>
          </w:tcPr>
          <w:p w:rsidR="008423E4" w:rsidRPr="00861995" w:rsidRDefault="00D34536" w:rsidP="00345119">
            <w:pPr>
              <w:jc w:val="right"/>
            </w:pPr>
            <w:r>
              <w:t>S.B. 1397</w:t>
            </w:r>
          </w:p>
        </w:tc>
      </w:tr>
      <w:tr w:rsidR="00CE5B7F" w:rsidTr="00345119">
        <w:tc>
          <w:tcPr>
            <w:tcW w:w="9576" w:type="dxa"/>
          </w:tcPr>
          <w:p w:rsidR="008423E4" w:rsidRPr="00861995" w:rsidRDefault="00D34536" w:rsidP="00047552">
            <w:pPr>
              <w:jc w:val="right"/>
            </w:pPr>
            <w:r>
              <w:t xml:space="preserve">By: </w:t>
            </w:r>
            <w:r>
              <w:t>Flores</w:t>
            </w:r>
          </w:p>
        </w:tc>
      </w:tr>
      <w:tr w:rsidR="00CE5B7F" w:rsidTr="00345119">
        <w:tc>
          <w:tcPr>
            <w:tcW w:w="9576" w:type="dxa"/>
          </w:tcPr>
          <w:p w:rsidR="008423E4" w:rsidRPr="00861995" w:rsidRDefault="00D34536" w:rsidP="00345119">
            <w:pPr>
              <w:jc w:val="right"/>
            </w:pPr>
            <w:r>
              <w:t>Homeland Security &amp; Public Safety</w:t>
            </w:r>
          </w:p>
        </w:tc>
      </w:tr>
      <w:tr w:rsidR="00CE5B7F" w:rsidTr="00345119">
        <w:tc>
          <w:tcPr>
            <w:tcW w:w="9576" w:type="dxa"/>
          </w:tcPr>
          <w:p w:rsidR="008423E4" w:rsidRDefault="00D3453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34536" w:rsidP="008423E4">
      <w:pPr>
        <w:tabs>
          <w:tab w:val="right" w:pos="9360"/>
        </w:tabs>
      </w:pPr>
    </w:p>
    <w:p w:rsidR="008423E4" w:rsidRDefault="00D34536" w:rsidP="008423E4"/>
    <w:p w:rsidR="008423E4" w:rsidRDefault="00D3453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5B7F" w:rsidTr="00345119">
        <w:tc>
          <w:tcPr>
            <w:tcW w:w="9576" w:type="dxa"/>
          </w:tcPr>
          <w:p w:rsidR="008423E4" w:rsidRPr="00A8133F" w:rsidRDefault="00D34536" w:rsidP="00AA3F5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4536" w:rsidP="00AA3F58"/>
          <w:p w:rsidR="008423E4" w:rsidRDefault="00D34536" w:rsidP="00AA3F58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some veteran </w:t>
            </w:r>
            <w:r>
              <w:t xml:space="preserve">peace </w:t>
            </w:r>
            <w:r>
              <w:t xml:space="preserve">officers might find existing </w:t>
            </w:r>
            <w:r>
              <w:t xml:space="preserve">continuing education </w:t>
            </w:r>
            <w:r>
              <w:t xml:space="preserve">and training </w:t>
            </w:r>
            <w:r>
              <w:t xml:space="preserve">requirements </w:t>
            </w:r>
            <w:r>
              <w:t xml:space="preserve">to be </w:t>
            </w:r>
            <w:r>
              <w:t xml:space="preserve">overly burdensome and </w:t>
            </w:r>
            <w:r>
              <w:t>ir</w:t>
            </w:r>
            <w:r>
              <w:t>relevant to their current role in the law enforcement community, particularly for those who no longer interact with the public</w:t>
            </w:r>
            <w:r>
              <w:t xml:space="preserve">. </w:t>
            </w:r>
            <w:r>
              <w:t xml:space="preserve">Recognizing that fact, </w:t>
            </w:r>
            <w:r>
              <w:t>S.B. 1397</w:t>
            </w:r>
            <w:r>
              <w:t xml:space="preserve"> seeks to exempt certain honorably retired peace offi</w:t>
            </w:r>
            <w:r>
              <w:t>cers from those requirements.</w:t>
            </w:r>
          </w:p>
          <w:p w:rsidR="008423E4" w:rsidRPr="00E26B13" w:rsidRDefault="00D34536" w:rsidP="00AA3F58">
            <w:pPr>
              <w:rPr>
                <w:b/>
              </w:rPr>
            </w:pPr>
          </w:p>
        </w:tc>
      </w:tr>
      <w:tr w:rsidR="00CE5B7F" w:rsidTr="00345119">
        <w:tc>
          <w:tcPr>
            <w:tcW w:w="9576" w:type="dxa"/>
          </w:tcPr>
          <w:p w:rsidR="0017725B" w:rsidRDefault="00D34536" w:rsidP="00AA3F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34536" w:rsidP="00AA3F58">
            <w:pPr>
              <w:rPr>
                <w:b/>
                <w:u w:val="single"/>
              </w:rPr>
            </w:pPr>
          </w:p>
          <w:p w:rsidR="00174CF1" w:rsidRPr="00174CF1" w:rsidRDefault="00D34536" w:rsidP="00AA3F5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</w:t>
            </w:r>
            <w:r>
              <w:t>of a person for community supervision, parole, or mandatory supervision.</w:t>
            </w:r>
          </w:p>
          <w:p w:rsidR="0017725B" w:rsidRPr="0017725B" w:rsidRDefault="00D34536" w:rsidP="00AA3F58">
            <w:pPr>
              <w:rPr>
                <w:b/>
                <w:u w:val="single"/>
              </w:rPr>
            </w:pPr>
          </w:p>
        </w:tc>
      </w:tr>
      <w:tr w:rsidR="00CE5B7F" w:rsidTr="00345119">
        <w:tc>
          <w:tcPr>
            <w:tcW w:w="9576" w:type="dxa"/>
          </w:tcPr>
          <w:p w:rsidR="008423E4" w:rsidRPr="00A8133F" w:rsidRDefault="00D34536" w:rsidP="00AA3F5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34536" w:rsidP="00AA3F58"/>
          <w:p w:rsidR="00174CF1" w:rsidRDefault="00D34536" w:rsidP="00AA3F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D34536" w:rsidP="00AA3F58">
            <w:pPr>
              <w:rPr>
                <w:b/>
              </w:rPr>
            </w:pPr>
          </w:p>
        </w:tc>
      </w:tr>
      <w:tr w:rsidR="00CE5B7F" w:rsidTr="00345119">
        <w:tc>
          <w:tcPr>
            <w:tcW w:w="9576" w:type="dxa"/>
          </w:tcPr>
          <w:p w:rsidR="008423E4" w:rsidRPr="00A8133F" w:rsidRDefault="00D34536" w:rsidP="00AA3F5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4536" w:rsidP="00AA3F58"/>
          <w:p w:rsidR="001F3FB4" w:rsidRDefault="00D34536" w:rsidP="00AA3F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1397</w:t>
            </w:r>
            <w:r>
              <w:t xml:space="preserve"> amends the Occupations Code to</w:t>
            </w:r>
            <w:r>
              <w:t xml:space="preserve"> </w:t>
            </w:r>
            <w:r>
              <w:t xml:space="preserve">expand the scope of the exemptions </w:t>
            </w:r>
            <w:r>
              <w:t xml:space="preserve">from certain continuing education and training requirements </w:t>
            </w:r>
            <w:r>
              <w:t>for</w:t>
            </w:r>
            <w:r>
              <w:t xml:space="preserve"> </w:t>
            </w:r>
            <w:r>
              <w:t>an honorably retired commissioned officer of the Department of Public Safety</w:t>
            </w:r>
            <w:r>
              <w:t xml:space="preserve"> (DPS)</w:t>
            </w:r>
            <w:r>
              <w:t xml:space="preserve"> who is </w:t>
            </w:r>
            <w:r>
              <w:t xml:space="preserve">appointed by the Public Safety Commission as </w:t>
            </w:r>
            <w:r>
              <w:t>a special</w:t>
            </w:r>
            <w:r>
              <w:t xml:space="preserve"> ranger</w:t>
            </w:r>
            <w:r>
              <w:t xml:space="preserve">. </w:t>
            </w:r>
            <w:r>
              <w:t xml:space="preserve">The bill extends </w:t>
            </w:r>
            <w:r>
              <w:t>those</w:t>
            </w:r>
            <w:r>
              <w:t xml:space="preserve"> exemption</w:t>
            </w:r>
            <w:r>
              <w:t>s</w:t>
            </w:r>
            <w:r>
              <w:t xml:space="preserve"> to </w:t>
            </w:r>
            <w:r>
              <w:t>the following persons:</w:t>
            </w:r>
          </w:p>
          <w:p w:rsidR="001F3FB4" w:rsidRDefault="00D34536" w:rsidP="00AA3F5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 w:rsidRPr="00A7405F">
              <w:t>an honorably retired commissioned DPS officer who is appointed by the commission as a special Texas Ranger</w:t>
            </w:r>
            <w:r>
              <w:t xml:space="preserve">; </w:t>
            </w:r>
          </w:p>
          <w:p w:rsidR="001F3FB4" w:rsidRDefault="00D34536" w:rsidP="00AA3F5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an honorably retired com</w:t>
            </w:r>
            <w:r>
              <w:t xml:space="preserve">missioned officer of the Parks and Wildlife Department (TPWD) who is commissioned by the </w:t>
            </w:r>
            <w:r>
              <w:t xml:space="preserve">executive </w:t>
            </w:r>
            <w:r>
              <w:t xml:space="preserve">director of TPWD as a special game warden; and </w:t>
            </w:r>
          </w:p>
          <w:p w:rsidR="001F3FB4" w:rsidRDefault="00D34536" w:rsidP="00AA3F5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 xml:space="preserve">an honorably retired commissioned officer of the Texas Alcoholic Beverage Commission (TABC) who is appointed </w:t>
            </w:r>
            <w:r>
              <w:t>by TABC or by the TABC administrator as a special inspector or representative</w:t>
            </w:r>
            <w:r>
              <w:t xml:space="preserve">. </w:t>
            </w:r>
          </w:p>
          <w:p w:rsidR="001F3FB4" w:rsidRDefault="00D34536" w:rsidP="00AA3F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F3FB4" w:rsidRDefault="00D34536" w:rsidP="00AA3F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1397</w:t>
            </w:r>
            <w:r>
              <w:t xml:space="preserve"> extends also to those </w:t>
            </w:r>
            <w:r>
              <w:t xml:space="preserve">persons </w:t>
            </w:r>
            <w:r>
              <w:t xml:space="preserve">the </w:t>
            </w:r>
            <w:r>
              <w:t>following:</w:t>
            </w:r>
          </w:p>
          <w:p w:rsidR="001F3FB4" w:rsidRDefault="00D34536" w:rsidP="00AA3F5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 xml:space="preserve">the </w:t>
            </w:r>
            <w:r>
              <w:t>sa</w:t>
            </w:r>
            <w:r>
              <w:t xml:space="preserve">me rights and privileges as any other peace officer in Texas; </w:t>
            </w:r>
          </w:p>
          <w:p w:rsidR="001F3FB4" w:rsidRDefault="00D34536" w:rsidP="00AA3F5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status of having an active license unless revoked, suspended, or probated by the Texas Commission on Law Enforcement for certain violations of state law; and </w:t>
            </w:r>
          </w:p>
          <w:p w:rsidR="008423E4" w:rsidRDefault="00D34536" w:rsidP="00AA3F5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 xml:space="preserve">the exemption from provisions requiring each peace officer to </w:t>
            </w:r>
            <w:r w:rsidRPr="00B17BD9">
              <w:t>complete at least 40 hours of c</w:t>
            </w:r>
            <w:r w:rsidRPr="00B17BD9">
              <w:t>ontinuing education programs once every 24 months</w:t>
            </w:r>
            <w:r>
              <w:t>.</w:t>
            </w:r>
          </w:p>
          <w:p w:rsidR="00D43784" w:rsidRDefault="00D34536" w:rsidP="00AA3F58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</w:pPr>
          </w:p>
          <w:p w:rsidR="008423E4" w:rsidRPr="00835628" w:rsidRDefault="00D34536" w:rsidP="00AA3F58">
            <w:pPr>
              <w:rPr>
                <w:b/>
              </w:rPr>
            </w:pPr>
          </w:p>
        </w:tc>
      </w:tr>
      <w:tr w:rsidR="00CE5B7F" w:rsidTr="00345119">
        <w:tc>
          <w:tcPr>
            <w:tcW w:w="9576" w:type="dxa"/>
          </w:tcPr>
          <w:p w:rsidR="008423E4" w:rsidRPr="00A8133F" w:rsidRDefault="00D34536" w:rsidP="00AA3F5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34536" w:rsidP="00AA3F58"/>
          <w:p w:rsidR="008423E4" w:rsidRPr="003624F2" w:rsidRDefault="00D34536" w:rsidP="00AA3F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August 26, 2019</w:t>
            </w:r>
            <w:r>
              <w:t>.</w:t>
            </w:r>
          </w:p>
          <w:p w:rsidR="008423E4" w:rsidRPr="00233FDB" w:rsidRDefault="00D34536" w:rsidP="00AA3F58">
            <w:pPr>
              <w:rPr>
                <w:b/>
              </w:rPr>
            </w:pPr>
          </w:p>
        </w:tc>
      </w:tr>
    </w:tbl>
    <w:p w:rsidR="008423E4" w:rsidRPr="00BE0E75" w:rsidRDefault="00D3453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3453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4536">
      <w:r>
        <w:separator/>
      </w:r>
    </w:p>
  </w:endnote>
  <w:endnote w:type="continuationSeparator" w:id="0">
    <w:p w:rsidR="00000000" w:rsidRDefault="00D3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4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5B7F" w:rsidTr="009C1E9A">
      <w:trPr>
        <w:cantSplit/>
      </w:trPr>
      <w:tc>
        <w:tcPr>
          <w:tcW w:w="0" w:type="pct"/>
        </w:tcPr>
        <w:p w:rsidR="00137D90" w:rsidRDefault="00D345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45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45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45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45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5B7F" w:rsidTr="009C1E9A">
      <w:trPr>
        <w:cantSplit/>
      </w:trPr>
      <w:tc>
        <w:tcPr>
          <w:tcW w:w="0" w:type="pct"/>
        </w:tcPr>
        <w:p w:rsidR="00EC379B" w:rsidRDefault="00D345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45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30343</w:t>
          </w:r>
        </w:p>
      </w:tc>
      <w:tc>
        <w:tcPr>
          <w:tcW w:w="2453" w:type="pct"/>
        </w:tcPr>
        <w:p w:rsidR="00EC379B" w:rsidRDefault="00D345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19.117.560</w:t>
          </w:r>
          <w:r>
            <w:fldChar w:fldCharType="end"/>
          </w:r>
        </w:p>
      </w:tc>
    </w:tr>
    <w:tr w:rsidR="00CE5B7F" w:rsidTr="009C1E9A">
      <w:trPr>
        <w:cantSplit/>
      </w:trPr>
      <w:tc>
        <w:tcPr>
          <w:tcW w:w="0" w:type="pct"/>
        </w:tcPr>
        <w:p w:rsidR="00EC379B" w:rsidRDefault="00D345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45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34536" w:rsidP="006D504F">
          <w:pPr>
            <w:pStyle w:val="Footer"/>
            <w:rPr>
              <w:rStyle w:val="PageNumber"/>
            </w:rPr>
          </w:pPr>
        </w:p>
        <w:p w:rsidR="00EC379B" w:rsidRDefault="00D345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5B7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45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3453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453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4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4536">
      <w:r>
        <w:separator/>
      </w:r>
    </w:p>
  </w:footnote>
  <w:footnote w:type="continuationSeparator" w:id="0">
    <w:p w:rsidR="00000000" w:rsidRDefault="00D3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4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4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3D3"/>
    <w:multiLevelType w:val="hybridMultilevel"/>
    <w:tmpl w:val="5888DB82"/>
    <w:lvl w:ilvl="0" w:tplc="B31A5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6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06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67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2A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B2C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E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A4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83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3B90"/>
    <w:multiLevelType w:val="hybridMultilevel"/>
    <w:tmpl w:val="C152FC98"/>
    <w:lvl w:ilvl="0" w:tplc="7A84C0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98C3560" w:tentative="1">
      <w:start w:val="1"/>
      <w:numFmt w:val="lowerLetter"/>
      <w:lvlText w:val="%2."/>
      <w:lvlJc w:val="left"/>
      <w:pPr>
        <w:ind w:left="1440" w:hanging="360"/>
      </w:pPr>
    </w:lvl>
    <w:lvl w:ilvl="2" w:tplc="F392C174" w:tentative="1">
      <w:start w:val="1"/>
      <w:numFmt w:val="lowerRoman"/>
      <w:lvlText w:val="%3."/>
      <w:lvlJc w:val="right"/>
      <w:pPr>
        <w:ind w:left="2160" w:hanging="180"/>
      </w:pPr>
    </w:lvl>
    <w:lvl w:ilvl="3" w:tplc="334A07C8" w:tentative="1">
      <w:start w:val="1"/>
      <w:numFmt w:val="decimal"/>
      <w:lvlText w:val="%4."/>
      <w:lvlJc w:val="left"/>
      <w:pPr>
        <w:ind w:left="2880" w:hanging="360"/>
      </w:pPr>
    </w:lvl>
    <w:lvl w:ilvl="4" w:tplc="DF486696" w:tentative="1">
      <w:start w:val="1"/>
      <w:numFmt w:val="lowerLetter"/>
      <w:lvlText w:val="%5."/>
      <w:lvlJc w:val="left"/>
      <w:pPr>
        <w:ind w:left="3600" w:hanging="360"/>
      </w:pPr>
    </w:lvl>
    <w:lvl w:ilvl="5" w:tplc="DF08C862" w:tentative="1">
      <w:start w:val="1"/>
      <w:numFmt w:val="lowerRoman"/>
      <w:lvlText w:val="%6."/>
      <w:lvlJc w:val="right"/>
      <w:pPr>
        <w:ind w:left="4320" w:hanging="180"/>
      </w:pPr>
    </w:lvl>
    <w:lvl w:ilvl="6" w:tplc="104A4D7C" w:tentative="1">
      <w:start w:val="1"/>
      <w:numFmt w:val="decimal"/>
      <w:lvlText w:val="%7."/>
      <w:lvlJc w:val="left"/>
      <w:pPr>
        <w:ind w:left="5040" w:hanging="360"/>
      </w:pPr>
    </w:lvl>
    <w:lvl w:ilvl="7" w:tplc="EB467C4C" w:tentative="1">
      <w:start w:val="1"/>
      <w:numFmt w:val="lowerLetter"/>
      <w:lvlText w:val="%8."/>
      <w:lvlJc w:val="left"/>
      <w:pPr>
        <w:ind w:left="5760" w:hanging="360"/>
      </w:pPr>
    </w:lvl>
    <w:lvl w:ilvl="8" w:tplc="01B25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CC5"/>
    <w:multiLevelType w:val="hybridMultilevel"/>
    <w:tmpl w:val="56149438"/>
    <w:lvl w:ilvl="0" w:tplc="6298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0C6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F8C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C6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28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EAE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A0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6D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B89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7F"/>
    <w:rsid w:val="00CE5B7F"/>
    <w:rsid w:val="00D3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3636D6-A550-432B-997F-F9F403EC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17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1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17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1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1767"/>
    <w:rPr>
      <w:b/>
      <w:bCs/>
    </w:rPr>
  </w:style>
  <w:style w:type="character" w:styleId="Hyperlink">
    <w:name w:val="Hyperlink"/>
    <w:basedOn w:val="DefaultParagraphFont"/>
    <w:unhideWhenUsed/>
    <w:rsid w:val="001B27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538D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53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1944</Characters>
  <Application>Microsoft Office Word</Application>
  <DocSecurity>4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HB01011 (Committee Report (Unamended))</vt:lpstr>
    </vt:vector>
  </TitlesOfParts>
  <Company>State of Texas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30343</dc:subject>
  <dc:creator>State of Texas</dc:creator>
  <dc:description>SB 1397 by Flores-(H)Homeland Security &amp; Public Safety</dc:description>
  <cp:lastModifiedBy>Scotty Wimberley</cp:lastModifiedBy>
  <cp:revision>2</cp:revision>
  <cp:lastPrinted>2003-11-26T17:21:00Z</cp:lastPrinted>
  <dcterms:created xsi:type="dcterms:W3CDTF">2019-05-16T21:05:00Z</dcterms:created>
  <dcterms:modified xsi:type="dcterms:W3CDTF">2019-05-16T21:05:00Z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19.117.560</vt:lpwstr>
  </property>
</Properties>
</file>