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0DA6" w:rsidTr="00345119">
        <w:tc>
          <w:tcPr>
            <w:tcW w:w="9576" w:type="dxa"/>
            <w:noWrap/>
          </w:tcPr>
          <w:p w:rsidR="008423E4" w:rsidRPr="0022177D" w:rsidRDefault="007B2C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B2C16" w:rsidP="008423E4">
      <w:pPr>
        <w:jc w:val="center"/>
      </w:pPr>
    </w:p>
    <w:p w:rsidR="008423E4" w:rsidRPr="00B31F0E" w:rsidRDefault="007B2C16" w:rsidP="008423E4"/>
    <w:p w:rsidR="008423E4" w:rsidRPr="00742794" w:rsidRDefault="007B2C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0DA6" w:rsidTr="00345119">
        <w:tc>
          <w:tcPr>
            <w:tcW w:w="9576" w:type="dxa"/>
          </w:tcPr>
          <w:p w:rsidR="008423E4" w:rsidRPr="00861995" w:rsidRDefault="007B2C16" w:rsidP="00345119">
            <w:pPr>
              <w:jc w:val="right"/>
            </w:pPr>
            <w:r>
              <w:t>S.B. 1404</w:t>
            </w:r>
          </w:p>
        </w:tc>
      </w:tr>
      <w:tr w:rsidR="00AD0DA6" w:rsidTr="00345119">
        <w:tc>
          <w:tcPr>
            <w:tcW w:w="9576" w:type="dxa"/>
          </w:tcPr>
          <w:p w:rsidR="008423E4" w:rsidRPr="00861995" w:rsidRDefault="007B2C16" w:rsidP="002F2EEF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AD0DA6" w:rsidTr="00345119">
        <w:tc>
          <w:tcPr>
            <w:tcW w:w="9576" w:type="dxa"/>
          </w:tcPr>
          <w:p w:rsidR="008423E4" w:rsidRPr="00861995" w:rsidRDefault="007B2C16" w:rsidP="00345119">
            <w:pPr>
              <w:jc w:val="right"/>
            </w:pPr>
            <w:r>
              <w:t>Public Health</w:t>
            </w:r>
          </w:p>
        </w:tc>
      </w:tr>
      <w:tr w:rsidR="00AD0DA6" w:rsidTr="00345119">
        <w:tc>
          <w:tcPr>
            <w:tcW w:w="9576" w:type="dxa"/>
          </w:tcPr>
          <w:p w:rsidR="008423E4" w:rsidRDefault="007B2C16" w:rsidP="002F2EEF">
            <w:pPr>
              <w:jc w:val="right"/>
            </w:pPr>
            <w:r>
              <w:t>Committee Report (Unamended)</w:t>
            </w:r>
          </w:p>
        </w:tc>
      </w:tr>
    </w:tbl>
    <w:p w:rsidR="008423E4" w:rsidRDefault="007B2C16" w:rsidP="008423E4">
      <w:pPr>
        <w:tabs>
          <w:tab w:val="right" w:pos="9360"/>
        </w:tabs>
      </w:pPr>
    </w:p>
    <w:p w:rsidR="008423E4" w:rsidRDefault="007B2C16" w:rsidP="008423E4"/>
    <w:p w:rsidR="008423E4" w:rsidRDefault="007B2C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D0DA6" w:rsidTr="00345119">
        <w:tc>
          <w:tcPr>
            <w:tcW w:w="9576" w:type="dxa"/>
          </w:tcPr>
          <w:p w:rsidR="008423E4" w:rsidRPr="00A8133F" w:rsidRDefault="007B2C16" w:rsidP="00502F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B2C16" w:rsidP="00502F65"/>
          <w:p w:rsidR="008423E4" w:rsidRDefault="007B2C16" w:rsidP="00502F65">
            <w:pPr>
              <w:pStyle w:val="Header"/>
              <w:jc w:val="both"/>
            </w:pPr>
            <w:r>
              <w:t>It has been suggested that electronic capture and storage of parental consent relating to the newborn screening program overseen by t</w:t>
            </w:r>
            <w:r>
              <w:t xml:space="preserve">he </w:t>
            </w:r>
            <w:r>
              <w:t>Department of State Health Services</w:t>
            </w:r>
            <w:r>
              <w:t xml:space="preserve"> (DSHS)</w:t>
            </w:r>
            <w:r>
              <w:t xml:space="preserve"> </w:t>
            </w:r>
            <w:r>
              <w:t>c</w:t>
            </w:r>
            <w:r>
              <w:t>ould</w:t>
            </w:r>
            <w:r>
              <w:t xml:space="preserve"> provide a streamlined and secure method for hospitals and public health officials to record and access parental consent.</w:t>
            </w:r>
            <w:r>
              <w:t xml:space="preserve"> </w:t>
            </w:r>
            <w:r>
              <w:t xml:space="preserve">S.B. 1404 </w:t>
            </w:r>
            <w:r>
              <w:t>seeks to address this issue by requiring DSHS to create a process to allow a</w:t>
            </w:r>
            <w:r>
              <w:t xml:space="preserve"> parent or guardian of a newborn to electronically provide </w:t>
            </w:r>
            <w:r>
              <w:t>consent to the disclosure of certain information relating to newborn and infant screening tests</w:t>
            </w:r>
            <w:r>
              <w:t xml:space="preserve"> and to determine the manner of </w:t>
            </w:r>
            <w:r>
              <w:t xml:space="preserve">storing </w:t>
            </w:r>
            <w:r>
              <w:t>electronic</w:t>
            </w:r>
            <w:r>
              <w:t xml:space="preserve"> consent records</w:t>
            </w:r>
            <w:r>
              <w:t xml:space="preserve">. </w:t>
            </w:r>
          </w:p>
          <w:p w:rsidR="008423E4" w:rsidRPr="00E26B13" w:rsidRDefault="007B2C16" w:rsidP="00502F65">
            <w:pPr>
              <w:rPr>
                <w:b/>
              </w:rPr>
            </w:pPr>
          </w:p>
        </w:tc>
      </w:tr>
      <w:tr w:rsidR="00AD0DA6" w:rsidTr="00345119">
        <w:tc>
          <w:tcPr>
            <w:tcW w:w="9576" w:type="dxa"/>
          </w:tcPr>
          <w:p w:rsidR="0017725B" w:rsidRDefault="007B2C16" w:rsidP="00502F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B2C16" w:rsidP="00502F65">
            <w:pPr>
              <w:rPr>
                <w:b/>
                <w:u w:val="single"/>
              </w:rPr>
            </w:pPr>
          </w:p>
          <w:p w:rsidR="0047205D" w:rsidRPr="0047205D" w:rsidRDefault="007B2C16" w:rsidP="00502F65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7B2C16" w:rsidP="00502F65">
            <w:pPr>
              <w:rPr>
                <w:b/>
                <w:u w:val="single"/>
              </w:rPr>
            </w:pPr>
          </w:p>
        </w:tc>
      </w:tr>
      <w:tr w:rsidR="00AD0DA6" w:rsidTr="00345119">
        <w:tc>
          <w:tcPr>
            <w:tcW w:w="9576" w:type="dxa"/>
          </w:tcPr>
          <w:p w:rsidR="008423E4" w:rsidRPr="00A8133F" w:rsidRDefault="007B2C16" w:rsidP="00502F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B2C16" w:rsidP="00502F65"/>
          <w:p w:rsidR="0047205D" w:rsidRDefault="007B2C16" w:rsidP="00502F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B2C16" w:rsidP="00502F65">
            <w:pPr>
              <w:rPr>
                <w:b/>
              </w:rPr>
            </w:pPr>
          </w:p>
        </w:tc>
      </w:tr>
      <w:tr w:rsidR="00AD0DA6" w:rsidTr="00345119">
        <w:tc>
          <w:tcPr>
            <w:tcW w:w="9576" w:type="dxa"/>
          </w:tcPr>
          <w:p w:rsidR="008423E4" w:rsidRPr="00A8133F" w:rsidRDefault="007B2C16" w:rsidP="00502F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B2C16" w:rsidP="00502F65"/>
          <w:p w:rsidR="00DE24A7" w:rsidRDefault="007B2C16" w:rsidP="00502F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E24A7">
              <w:t>S.B. 1404</w:t>
            </w:r>
            <w:r>
              <w:t xml:space="preserve"> </w:t>
            </w:r>
            <w:r>
              <w:t>amends the Health and Safety Code to</w:t>
            </w:r>
            <w:r>
              <w:t xml:space="preserve"> require the </w:t>
            </w:r>
            <w:r w:rsidRPr="00DE24A7">
              <w:t>Department of State Health Services</w:t>
            </w:r>
            <w:r>
              <w:t xml:space="preserve"> (DSHS) to  create a process to do the following:</w:t>
            </w:r>
          </w:p>
          <w:p w:rsidR="00DE24A7" w:rsidRDefault="007B2C16" w:rsidP="00502F6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E2004">
              <w:t>permit the parent, managing conservator, or guardian of a newborn child</w:t>
            </w:r>
            <w:r>
              <w:t xml:space="preserve"> </w:t>
            </w:r>
            <w:r>
              <w:t xml:space="preserve">to provide </w:t>
            </w:r>
            <w:r w:rsidRPr="00FE2004">
              <w:t>consent</w:t>
            </w:r>
            <w:r>
              <w:t xml:space="preserve"> required for the disclosure of certain information relating to newb</w:t>
            </w:r>
            <w:r>
              <w:t>orn</w:t>
            </w:r>
            <w:r>
              <w:t xml:space="preserve"> and infant</w:t>
            </w:r>
            <w:r>
              <w:t xml:space="preserve"> screening for </w:t>
            </w:r>
            <w:r w:rsidRPr="00D5163E">
              <w:t>phenylketonuria, other heritable diseases, hypo</w:t>
            </w:r>
            <w:r>
              <w:t xml:space="preserve">thyroidism, and </w:t>
            </w:r>
            <w:r>
              <w:t xml:space="preserve">certain </w:t>
            </w:r>
            <w:r>
              <w:t>other disorders</w:t>
            </w:r>
            <w:r>
              <w:t xml:space="preserve"> </w:t>
            </w:r>
            <w:r w:rsidRPr="00FE2004">
              <w:t>through electronic means, including through audio or video recording</w:t>
            </w:r>
            <w:r>
              <w:t>;</w:t>
            </w:r>
          </w:p>
          <w:p w:rsidR="00B519DF" w:rsidRDefault="007B2C16" w:rsidP="00502F6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E2004">
              <w:t>permit the parent</w:t>
            </w:r>
            <w:r>
              <w:t xml:space="preserve"> of a</w:t>
            </w:r>
            <w:r>
              <w:t xml:space="preserve"> newborn or</w:t>
            </w:r>
            <w:r>
              <w:t xml:space="preserve"> infant to provide consent required f</w:t>
            </w:r>
            <w:r>
              <w:t xml:space="preserve">or the disclosure of certain information relating to </w:t>
            </w:r>
            <w:r>
              <w:t xml:space="preserve">newborn </w:t>
            </w:r>
            <w:r>
              <w:t>hearing loss</w:t>
            </w:r>
            <w:r w:rsidRPr="00FE2004">
              <w:t xml:space="preserve"> through electronic means, including through audio or video recording</w:t>
            </w:r>
            <w:r>
              <w:t>;</w:t>
            </w:r>
          </w:p>
          <w:p w:rsidR="00FE2004" w:rsidRDefault="007B2C16" w:rsidP="00502F6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E2004">
              <w:t>determine the manner of storing electronic consent records; and</w:t>
            </w:r>
          </w:p>
          <w:p w:rsidR="00FE2004" w:rsidRDefault="007B2C16" w:rsidP="00502F6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E2004">
              <w:t xml:space="preserve">ensure the newborn child's </w:t>
            </w:r>
            <w:r>
              <w:t xml:space="preserve">or infant's </w:t>
            </w:r>
            <w:r w:rsidRPr="00FE2004">
              <w:t>attending</w:t>
            </w:r>
            <w:r w:rsidRPr="00FE2004">
              <w:t xml:space="preserve"> physician has access to the electronic consent records for the </w:t>
            </w:r>
            <w:r>
              <w:t>newborn or infant</w:t>
            </w:r>
            <w:r w:rsidRPr="00FE2004">
              <w:t>.</w:t>
            </w:r>
          </w:p>
          <w:p w:rsidR="00DE24A7" w:rsidRDefault="007B2C16" w:rsidP="008546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a request</w:t>
            </w:r>
            <w:r>
              <w:t xml:space="preserve"> for such consent</w:t>
            </w:r>
            <w:r>
              <w:t xml:space="preserve"> to be submitted to the parent, managing conservator, or guardian of </w:t>
            </w:r>
            <w:r>
              <w:t>a newborn or infant</w:t>
            </w:r>
            <w:r>
              <w:t>, as applicable,</w:t>
            </w:r>
            <w:r>
              <w:t xml:space="preserve"> through written or ele</w:t>
            </w:r>
            <w:r>
              <w:t xml:space="preserve">ctronic means, including through audio or visual recording. The bill </w:t>
            </w:r>
            <w:r>
              <w:t>establishes</w:t>
            </w:r>
            <w:r>
              <w:t xml:space="preserve"> that a birthing facility or person required to obtain such consent is not required to use th</w:t>
            </w:r>
            <w:r>
              <w:t xml:space="preserve">e </w:t>
            </w:r>
            <w:r>
              <w:t xml:space="preserve">process </w:t>
            </w:r>
            <w:r>
              <w:t xml:space="preserve">created by DSHS </w:t>
            </w:r>
            <w:r>
              <w:t>to obtain the consent.</w:t>
            </w:r>
          </w:p>
          <w:p w:rsidR="00C817DB" w:rsidRDefault="007B2C16" w:rsidP="008546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00661" w:rsidRDefault="007B2C16" w:rsidP="00502F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1404 authorizes DSHS to </w:t>
            </w:r>
            <w:r>
              <w:t>provide a</w:t>
            </w:r>
            <w:r>
              <w:t>n applicable</w:t>
            </w:r>
            <w:r>
              <w:t xml:space="preserve"> disclosure statement in various formats and languages to ensure clear communication of information on the applicable screening test</w:t>
            </w:r>
            <w:r>
              <w:t xml:space="preserve"> and requires the applicable attending</w:t>
            </w:r>
            <w:r>
              <w:t xml:space="preserve"> </w:t>
            </w:r>
            <w:r>
              <w:t xml:space="preserve">physician or person </w:t>
            </w:r>
            <w:r>
              <w:t xml:space="preserve">to provide a copy of </w:t>
            </w:r>
            <w:r>
              <w:t>an</w:t>
            </w:r>
            <w:r>
              <w:t xml:space="preserve"> electronic disclosur</w:t>
            </w:r>
            <w:r>
              <w:t>e statement to</w:t>
            </w:r>
            <w:r>
              <w:t xml:space="preserve"> </w:t>
            </w:r>
            <w:r>
              <w:t xml:space="preserve">the </w:t>
            </w:r>
            <w:r w:rsidRPr="00615996">
              <w:t xml:space="preserve">parent, managing conservator, or guardian of </w:t>
            </w:r>
            <w:r>
              <w:t>the</w:t>
            </w:r>
            <w:r w:rsidRPr="00615996">
              <w:t xml:space="preserve"> newborn child </w:t>
            </w:r>
            <w:r>
              <w:t xml:space="preserve">at the time the child is </w:t>
            </w:r>
            <w:r>
              <w:t xml:space="preserve">subjected to </w:t>
            </w:r>
            <w:r>
              <w:t>the</w:t>
            </w:r>
            <w:r>
              <w:t xml:space="preserve"> applicable screening test</w:t>
            </w:r>
            <w:r>
              <w:t>.</w:t>
            </w:r>
            <w:r>
              <w:t xml:space="preserve"> </w:t>
            </w:r>
          </w:p>
          <w:p w:rsidR="00D00661" w:rsidRDefault="007B2C16" w:rsidP="00502F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B7E52" w:rsidRDefault="007B2C16" w:rsidP="00502F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1404 includes</w:t>
            </w:r>
            <w:r>
              <w:t xml:space="preserve"> electronic consent </w:t>
            </w:r>
            <w:r>
              <w:t>in the scope of provisions requiring</w:t>
            </w:r>
            <w:r>
              <w:t xml:space="preserve"> </w:t>
            </w:r>
            <w:r>
              <w:t>certain parental consent</w:t>
            </w:r>
            <w:r>
              <w:t xml:space="preserve"> </w:t>
            </w:r>
            <w:r>
              <w:t>reg</w:t>
            </w:r>
            <w:r>
              <w:t xml:space="preserve">arding newborn hearing screening </w:t>
            </w:r>
            <w:r>
              <w:t xml:space="preserve">before </w:t>
            </w:r>
            <w:r>
              <w:t>the release of</w:t>
            </w:r>
            <w:r>
              <w:t xml:space="preserve"> information individually identifying </w:t>
            </w:r>
            <w:r>
              <w:t>a</w:t>
            </w:r>
            <w:r>
              <w:t xml:space="preserve"> newborn or infant </w:t>
            </w:r>
            <w:r>
              <w:t>and</w:t>
            </w:r>
            <w:r>
              <w:t xml:space="preserve"> </w:t>
            </w:r>
            <w:r>
              <w:t>requiring</w:t>
            </w:r>
            <w:r>
              <w:t xml:space="preserve"> the executive commissioner of the Health and Human Services Commission to develop guidelines </w:t>
            </w:r>
            <w:r>
              <w:t>for</w:t>
            </w:r>
            <w:r>
              <w:t xml:space="preserve"> parent</w:t>
            </w:r>
            <w:r>
              <w:t>al</w:t>
            </w:r>
            <w:r>
              <w:t xml:space="preserve"> or guardian </w:t>
            </w:r>
            <w:r>
              <w:t xml:space="preserve">consent </w:t>
            </w:r>
            <w:r>
              <w:t>befo</w:t>
            </w:r>
            <w:r>
              <w:t>re individually identifying information is provided to DSHS</w:t>
            </w:r>
            <w:r>
              <w:t xml:space="preserve"> </w:t>
            </w:r>
            <w:r>
              <w:t>with respect to</w:t>
            </w:r>
            <w:r>
              <w:t xml:space="preserve"> </w:t>
            </w:r>
            <w:r>
              <w:t>such screening</w:t>
            </w:r>
            <w:r>
              <w:t>.</w:t>
            </w:r>
          </w:p>
          <w:p w:rsidR="009B7E52" w:rsidRDefault="007B2C16" w:rsidP="00502F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D5EE8" w:rsidRDefault="007B2C16" w:rsidP="00502F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1404 establishes that DSHS is required to implement a provision of the bill only if the legislature appropriates money specifically for that purpose and </w:t>
            </w:r>
            <w:r>
              <w:t xml:space="preserve">if not, </w:t>
            </w:r>
            <w:r>
              <w:t xml:space="preserve">that DSHS may, but is not required to, implement </w:t>
            </w:r>
            <w:r>
              <w:t xml:space="preserve">such </w:t>
            </w:r>
            <w:r>
              <w:t>a provision using other appropriations available for that purpose.</w:t>
            </w:r>
            <w:r>
              <w:t xml:space="preserve"> </w:t>
            </w:r>
            <w:r>
              <w:t xml:space="preserve">  </w:t>
            </w:r>
          </w:p>
          <w:p w:rsidR="008423E4" w:rsidRPr="00835628" w:rsidRDefault="007B2C16" w:rsidP="00502F65">
            <w:pPr>
              <w:rPr>
                <w:b/>
              </w:rPr>
            </w:pPr>
          </w:p>
        </w:tc>
      </w:tr>
      <w:tr w:rsidR="00AD0DA6" w:rsidTr="00345119">
        <w:tc>
          <w:tcPr>
            <w:tcW w:w="9576" w:type="dxa"/>
          </w:tcPr>
          <w:p w:rsidR="008423E4" w:rsidRPr="00A8133F" w:rsidRDefault="007B2C16" w:rsidP="00502F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B2C16" w:rsidP="00502F65"/>
          <w:p w:rsidR="008423E4" w:rsidRPr="003624F2" w:rsidRDefault="007B2C16" w:rsidP="00502F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7B2C16" w:rsidP="00502F65">
            <w:pPr>
              <w:rPr>
                <w:b/>
              </w:rPr>
            </w:pPr>
          </w:p>
        </w:tc>
      </w:tr>
    </w:tbl>
    <w:p w:rsidR="008423E4" w:rsidRPr="00BE0E75" w:rsidRDefault="007B2C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B2C1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2C16">
      <w:r>
        <w:separator/>
      </w:r>
    </w:p>
  </w:endnote>
  <w:endnote w:type="continuationSeparator" w:id="0">
    <w:p w:rsidR="00000000" w:rsidRDefault="007B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0DA6" w:rsidTr="009C1E9A">
      <w:trPr>
        <w:cantSplit/>
      </w:trPr>
      <w:tc>
        <w:tcPr>
          <w:tcW w:w="0" w:type="pct"/>
        </w:tcPr>
        <w:p w:rsidR="00137D90" w:rsidRDefault="007B2C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B2C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B2C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B2C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B2C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0DA6" w:rsidTr="009C1E9A">
      <w:trPr>
        <w:cantSplit/>
      </w:trPr>
      <w:tc>
        <w:tcPr>
          <w:tcW w:w="0" w:type="pct"/>
        </w:tcPr>
        <w:p w:rsidR="00EC379B" w:rsidRDefault="007B2C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B2C16" w:rsidP="002F2EE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33836</w:t>
          </w:r>
        </w:p>
      </w:tc>
      <w:tc>
        <w:tcPr>
          <w:tcW w:w="2453" w:type="pct"/>
        </w:tcPr>
        <w:p w:rsidR="00EC379B" w:rsidRDefault="007B2C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19.134.831</w:t>
          </w:r>
          <w:r>
            <w:fldChar w:fldCharType="end"/>
          </w:r>
        </w:p>
      </w:tc>
    </w:tr>
    <w:tr w:rsidR="00AD0DA6" w:rsidTr="009C1E9A">
      <w:trPr>
        <w:cantSplit/>
      </w:trPr>
      <w:tc>
        <w:tcPr>
          <w:tcW w:w="0" w:type="pct"/>
        </w:tcPr>
        <w:p w:rsidR="00EC379B" w:rsidRDefault="007B2C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B2C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B2C16" w:rsidP="006D504F">
          <w:pPr>
            <w:pStyle w:val="Footer"/>
            <w:rPr>
              <w:rStyle w:val="PageNumber"/>
            </w:rPr>
          </w:pPr>
        </w:p>
        <w:p w:rsidR="00EC379B" w:rsidRDefault="007B2C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0D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B2C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B2C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B2C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2C16">
      <w:r>
        <w:separator/>
      </w:r>
    </w:p>
  </w:footnote>
  <w:footnote w:type="continuationSeparator" w:id="0">
    <w:p w:rsidR="00000000" w:rsidRDefault="007B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0A86"/>
    <w:multiLevelType w:val="hybridMultilevel"/>
    <w:tmpl w:val="F17A8EC2"/>
    <w:lvl w:ilvl="0" w:tplc="9C1E9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6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2F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C8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E3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63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68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49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C5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7A38"/>
    <w:multiLevelType w:val="hybridMultilevel"/>
    <w:tmpl w:val="1336498C"/>
    <w:lvl w:ilvl="0" w:tplc="12D4B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E4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2C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E1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AA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0B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45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41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85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6"/>
    <w:rsid w:val="007B2C16"/>
    <w:rsid w:val="00A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FF2DBB-9617-4133-A40A-62E4F019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59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5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59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599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1D7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9F4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3150</Characters>
  <Application>Microsoft Office Word</Application>
  <DocSecurity>4</DocSecurity>
  <Lines>73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SB01404 (Committee Report (Unamended))</vt:lpstr>
    </vt:vector>
  </TitlesOfParts>
  <Company>State of Texas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33836</dc:subject>
  <dc:creator>State of Texas</dc:creator>
  <dc:description>SB 1404 by Powell-(H)Public Health</dc:description>
  <cp:lastModifiedBy>Scotty Wimberley</cp:lastModifiedBy>
  <cp:revision>2</cp:revision>
  <cp:lastPrinted>2003-11-26T17:21:00Z</cp:lastPrinted>
  <dcterms:created xsi:type="dcterms:W3CDTF">2019-05-15T22:13:00Z</dcterms:created>
  <dcterms:modified xsi:type="dcterms:W3CDTF">2019-05-15T22:13:00Z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19.134.831</vt:lpwstr>
  </property>
</Properties>
</file>