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C124E" w:rsidTr="00345119">
        <w:tc>
          <w:tcPr>
            <w:tcW w:w="9576" w:type="dxa"/>
            <w:noWrap/>
          </w:tcPr>
          <w:p w:rsidR="008423E4" w:rsidRPr="0022177D" w:rsidRDefault="00DF101A" w:rsidP="00345119">
            <w:pPr>
              <w:pStyle w:val="Heading1"/>
            </w:pPr>
            <w:bookmarkStart w:id="0" w:name="_GoBack"/>
            <w:bookmarkEnd w:id="0"/>
            <w:r w:rsidRPr="00631897">
              <w:t>BILL ANALYSIS</w:t>
            </w:r>
          </w:p>
        </w:tc>
      </w:tr>
    </w:tbl>
    <w:p w:rsidR="008423E4" w:rsidRPr="0022177D" w:rsidRDefault="00DF101A" w:rsidP="008423E4">
      <w:pPr>
        <w:jc w:val="center"/>
      </w:pPr>
    </w:p>
    <w:p w:rsidR="008423E4" w:rsidRPr="00B31F0E" w:rsidRDefault="00DF101A" w:rsidP="008423E4"/>
    <w:p w:rsidR="008423E4" w:rsidRPr="00742794" w:rsidRDefault="00DF101A" w:rsidP="008423E4">
      <w:pPr>
        <w:tabs>
          <w:tab w:val="right" w:pos="9360"/>
        </w:tabs>
      </w:pPr>
    </w:p>
    <w:tbl>
      <w:tblPr>
        <w:tblW w:w="0" w:type="auto"/>
        <w:tblLayout w:type="fixed"/>
        <w:tblLook w:val="01E0" w:firstRow="1" w:lastRow="1" w:firstColumn="1" w:lastColumn="1" w:noHBand="0" w:noVBand="0"/>
      </w:tblPr>
      <w:tblGrid>
        <w:gridCol w:w="9576"/>
      </w:tblGrid>
      <w:tr w:rsidR="00AC124E" w:rsidTr="00345119">
        <w:tc>
          <w:tcPr>
            <w:tcW w:w="9576" w:type="dxa"/>
          </w:tcPr>
          <w:p w:rsidR="008423E4" w:rsidRPr="00861995" w:rsidRDefault="00DF101A" w:rsidP="00345119">
            <w:pPr>
              <w:jc w:val="right"/>
            </w:pPr>
            <w:r>
              <w:t>S.B. 1414</w:t>
            </w:r>
          </w:p>
        </w:tc>
      </w:tr>
      <w:tr w:rsidR="00AC124E" w:rsidTr="00345119">
        <w:tc>
          <w:tcPr>
            <w:tcW w:w="9576" w:type="dxa"/>
          </w:tcPr>
          <w:p w:rsidR="008423E4" w:rsidRPr="00861995" w:rsidRDefault="00DF101A" w:rsidP="00A06374">
            <w:pPr>
              <w:jc w:val="right"/>
            </w:pPr>
            <w:r>
              <w:t xml:space="preserve">By: </w:t>
            </w:r>
            <w:r>
              <w:t>Hancock</w:t>
            </w:r>
          </w:p>
        </w:tc>
      </w:tr>
      <w:tr w:rsidR="00AC124E" w:rsidTr="00345119">
        <w:tc>
          <w:tcPr>
            <w:tcW w:w="9576" w:type="dxa"/>
          </w:tcPr>
          <w:p w:rsidR="008423E4" w:rsidRPr="00861995" w:rsidRDefault="00DF101A" w:rsidP="00345119">
            <w:pPr>
              <w:jc w:val="right"/>
            </w:pPr>
            <w:r>
              <w:t>Business &amp; Industry</w:t>
            </w:r>
          </w:p>
        </w:tc>
      </w:tr>
      <w:tr w:rsidR="00AC124E" w:rsidTr="00345119">
        <w:tc>
          <w:tcPr>
            <w:tcW w:w="9576" w:type="dxa"/>
          </w:tcPr>
          <w:p w:rsidR="008423E4" w:rsidRDefault="00DF101A" w:rsidP="00345119">
            <w:pPr>
              <w:jc w:val="right"/>
            </w:pPr>
            <w:r>
              <w:t>Committee Report (Unamended)</w:t>
            </w:r>
          </w:p>
        </w:tc>
      </w:tr>
    </w:tbl>
    <w:p w:rsidR="008423E4" w:rsidRDefault="00DF101A" w:rsidP="008423E4">
      <w:pPr>
        <w:tabs>
          <w:tab w:val="right" w:pos="9360"/>
        </w:tabs>
      </w:pPr>
    </w:p>
    <w:p w:rsidR="008423E4" w:rsidRDefault="00DF101A" w:rsidP="008423E4"/>
    <w:p w:rsidR="008423E4" w:rsidRDefault="00DF101A" w:rsidP="008423E4"/>
    <w:tbl>
      <w:tblPr>
        <w:tblW w:w="0" w:type="auto"/>
        <w:tblCellMar>
          <w:left w:w="115" w:type="dxa"/>
          <w:right w:w="115" w:type="dxa"/>
        </w:tblCellMar>
        <w:tblLook w:val="01E0" w:firstRow="1" w:lastRow="1" w:firstColumn="1" w:lastColumn="1" w:noHBand="0" w:noVBand="0"/>
      </w:tblPr>
      <w:tblGrid>
        <w:gridCol w:w="9360"/>
      </w:tblGrid>
      <w:tr w:rsidR="00AC124E" w:rsidTr="00345119">
        <w:tc>
          <w:tcPr>
            <w:tcW w:w="9576" w:type="dxa"/>
          </w:tcPr>
          <w:p w:rsidR="008423E4" w:rsidRPr="00A8133F" w:rsidRDefault="00DF101A" w:rsidP="00986619">
            <w:pPr>
              <w:rPr>
                <w:b/>
              </w:rPr>
            </w:pPr>
            <w:r w:rsidRPr="009C1E9A">
              <w:rPr>
                <w:b/>
                <w:u w:val="single"/>
              </w:rPr>
              <w:t>BACKGROUND AND PURPOSE</w:t>
            </w:r>
            <w:r>
              <w:rPr>
                <w:b/>
              </w:rPr>
              <w:t xml:space="preserve"> </w:t>
            </w:r>
          </w:p>
          <w:p w:rsidR="008423E4" w:rsidRDefault="00DF101A" w:rsidP="00986619"/>
          <w:p w:rsidR="008423E4" w:rsidRDefault="00DF101A" w:rsidP="00986619">
            <w:pPr>
              <w:pStyle w:val="Header"/>
              <w:tabs>
                <w:tab w:val="clear" w:pos="4320"/>
                <w:tab w:val="clear" w:pos="8640"/>
              </w:tabs>
              <w:jc w:val="both"/>
            </w:pPr>
            <w:r>
              <w:t>There are concerns that landlords may be reluctant to charge residential tenants late fees for late rent payments and may be more likely to seek evictions of tenants who pay rent late due to uncertainty on how to comply with the law regarding these late fe</w:t>
            </w:r>
            <w:r>
              <w:t xml:space="preserve">es. </w:t>
            </w:r>
            <w:r>
              <w:t>S.B. 1414</w:t>
            </w:r>
            <w:r>
              <w:t xml:space="preserve"> seeks to address these concerns by clarifying the existing law relating to fees resulting from a residential tenant's failure to timely pay rent.</w:t>
            </w:r>
          </w:p>
          <w:p w:rsidR="008423E4" w:rsidRPr="00E26B13" w:rsidRDefault="00DF101A" w:rsidP="00986619">
            <w:pPr>
              <w:rPr>
                <w:b/>
              </w:rPr>
            </w:pPr>
          </w:p>
        </w:tc>
      </w:tr>
      <w:tr w:rsidR="00AC124E" w:rsidTr="00345119">
        <w:tc>
          <w:tcPr>
            <w:tcW w:w="9576" w:type="dxa"/>
          </w:tcPr>
          <w:p w:rsidR="0017725B" w:rsidRDefault="00DF101A" w:rsidP="00986619">
            <w:pPr>
              <w:rPr>
                <w:b/>
                <w:u w:val="single"/>
              </w:rPr>
            </w:pPr>
            <w:r>
              <w:rPr>
                <w:b/>
                <w:u w:val="single"/>
              </w:rPr>
              <w:t>CRIMINAL JUSTICE IMPACT</w:t>
            </w:r>
          </w:p>
          <w:p w:rsidR="0017725B" w:rsidRDefault="00DF101A" w:rsidP="00986619">
            <w:pPr>
              <w:rPr>
                <w:b/>
                <w:u w:val="single"/>
              </w:rPr>
            </w:pPr>
          </w:p>
          <w:p w:rsidR="00EF13E8" w:rsidRPr="00EF13E8" w:rsidRDefault="00DF101A" w:rsidP="00986619">
            <w:pPr>
              <w:jc w:val="both"/>
            </w:pPr>
            <w:r>
              <w:t>It is the committee's opinion that this bill does not expressly creat</w:t>
            </w:r>
            <w:r>
              <w:t>e a criminal offense, increase the punishment for an existing criminal offense or category of offenses, or change the eligibility of a person for community supervision, parole, or mandatory supervision.</w:t>
            </w:r>
          </w:p>
          <w:p w:rsidR="0017725B" w:rsidRPr="0017725B" w:rsidRDefault="00DF101A" w:rsidP="00986619">
            <w:pPr>
              <w:rPr>
                <w:b/>
                <w:u w:val="single"/>
              </w:rPr>
            </w:pPr>
          </w:p>
        </w:tc>
      </w:tr>
      <w:tr w:rsidR="00AC124E" w:rsidTr="00345119">
        <w:tc>
          <w:tcPr>
            <w:tcW w:w="9576" w:type="dxa"/>
          </w:tcPr>
          <w:p w:rsidR="008423E4" w:rsidRPr="00A8133F" w:rsidRDefault="00DF101A" w:rsidP="00986619">
            <w:pPr>
              <w:rPr>
                <w:b/>
              </w:rPr>
            </w:pPr>
            <w:r w:rsidRPr="009C1E9A">
              <w:rPr>
                <w:b/>
                <w:u w:val="single"/>
              </w:rPr>
              <w:t>RULEMAKING AUTHORITY</w:t>
            </w:r>
            <w:r>
              <w:rPr>
                <w:b/>
              </w:rPr>
              <w:t xml:space="preserve"> </w:t>
            </w:r>
          </w:p>
          <w:p w:rsidR="008423E4" w:rsidRDefault="00DF101A" w:rsidP="00986619"/>
          <w:p w:rsidR="00EF13E8" w:rsidRDefault="00DF101A" w:rsidP="00986619">
            <w:pPr>
              <w:pStyle w:val="Header"/>
              <w:tabs>
                <w:tab w:val="clear" w:pos="4320"/>
                <w:tab w:val="clear" w:pos="8640"/>
              </w:tabs>
              <w:jc w:val="both"/>
            </w:pPr>
            <w:r>
              <w:t>It is the committee's opinio</w:t>
            </w:r>
            <w:r>
              <w:t>n that this bill does not expressly grant any additional rulemaking authority to a state officer, department, agency, or institution.</w:t>
            </w:r>
          </w:p>
          <w:p w:rsidR="008423E4" w:rsidRPr="00E21FDC" w:rsidRDefault="00DF101A" w:rsidP="00986619">
            <w:pPr>
              <w:rPr>
                <w:b/>
              </w:rPr>
            </w:pPr>
          </w:p>
        </w:tc>
      </w:tr>
      <w:tr w:rsidR="00AC124E" w:rsidTr="00345119">
        <w:tc>
          <w:tcPr>
            <w:tcW w:w="9576" w:type="dxa"/>
          </w:tcPr>
          <w:p w:rsidR="008423E4" w:rsidRPr="00A8133F" w:rsidRDefault="00DF101A" w:rsidP="00986619">
            <w:pPr>
              <w:rPr>
                <w:b/>
              </w:rPr>
            </w:pPr>
            <w:r w:rsidRPr="009C1E9A">
              <w:rPr>
                <w:b/>
                <w:u w:val="single"/>
              </w:rPr>
              <w:t>ANALYSIS</w:t>
            </w:r>
            <w:r>
              <w:rPr>
                <w:b/>
              </w:rPr>
              <w:t xml:space="preserve"> </w:t>
            </w:r>
          </w:p>
          <w:p w:rsidR="008423E4" w:rsidRDefault="00DF101A" w:rsidP="00986619"/>
          <w:p w:rsidR="0040300F" w:rsidRDefault="00DF101A" w:rsidP="00986619">
            <w:pPr>
              <w:pStyle w:val="Header"/>
              <w:jc w:val="both"/>
            </w:pPr>
            <w:r>
              <w:t>S.B. 1414 amends the Property Code to replace the prohibition against a landlord charging a tenant a late fee</w:t>
            </w:r>
            <w:r>
              <w:t xml:space="preserve"> for failing to pay rent unless certain conditions exist with a prohibition against a landlord collecting from a tenant a late fee for failing to pay any portion of the tenant's rent unless certain conditions exist. The bill revises those conditions by:</w:t>
            </w:r>
          </w:p>
          <w:p w:rsidR="0040300F" w:rsidRDefault="00DF101A" w:rsidP="00986619">
            <w:pPr>
              <w:pStyle w:val="Header"/>
              <w:numPr>
                <w:ilvl w:val="0"/>
                <w:numId w:val="3"/>
              </w:numPr>
              <w:spacing w:before="120" w:after="120"/>
              <w:jc w:val="both"/>
            </w:pPr>
            <w:r>
              <w:t>re</w:t>
            </w:r>
            <w:r>
              <w:t xml:space="preserve">placing the condition that the rent has remained unpaid one full day after the date the rent was originally due with a condition that any portion of the rent has remained unpaid for two full days after that original due date; and </w:t>
            </w:r>
          </w:p>
          <w:p w:rsidR="0040300F" w:rsidRDefault="00DF101A" w:rsidP="00986619">
            <w:pPr>
              <w:pStyle w:val="Header"/>
              <w:numPr>
                <w:ilvl w:val="0"/>
                <w:numId w:val="3"/>
              </w:numPr>
              <w:spacing w:before="120" w:after="120"/>
              <w:jc w:val="both"/>
            </w:pPr>
            <w:r>
              <w:t>replacing the condition t</w:t>
            </w:r>
            <w:r>
              <w:t xml:space="preserve">hat the fee is a reasonable estimate of uncertain damages to the landlord that are incapable of precise calculation and result from late payment of rent with a condition that the fee is reasonable.  </w:t>
            </w:r>
          </w:p>
          <w:p w:rsidR="00CD16B1" w:rsidRDefault="00DF101A" w:rsidP="00986619">
            <w:pPr>
              <w:pStyle w:val="Header"/>
              <w:spacing w:before="120" w:after="120"/>
              <w:jc w:val="both"/>
            </w:pPr>
          </w:p>
          <w:p w:rsidR="0040300F" w:rsidRDefault="00DF101A" w:rsidP="00986619">
            <w:pPr>
              <w:pStyle w:val="Header"/>
              <w:spacing w:before="120" w:after="120"/>
              <w:jc w:val="both"/>
            </w:pPr>
            <w:r>
              <w:t xml:space="preserve">S.B. 1414 establishes that a late fee is considered </w:t>
            </w:r>
            <w:r>
              <w:t>reasonable if the fee is:</w:t>
            </w:r>
          </w:p>
          <w:p w:rsidR="0040300F" w:rsidRDefault="00DF101A" w:rsidP="00986619">
            <w:pPr>
              <w:pStyle w:val="Header"/>
              <w:numPr>
                <w:ilvl w:val="0"/>
                <w:numId w:val="2"/>
              </w:numPr>
              <w:spacing w:before="120" w:after="120"/>
              <w:jc w:val="both"/>
            </w:pPr>
            <w:r>
              <w:t>not more than 12 percent of the amount of rent for the rental period under the lease for a dwelling located in a structure that contains not more than four dwelling units or not more than 10 percent of the amount of rent for the r</w:t>
            </w:r>
            <w:r>
              <w:t>ental period under the lease for a dwelling located in a structure that contains more than four dwelling units; or</w:t>
            </w:r>
          </w:p>
          <w:p w:rsidR="0040300F" w:rsidRDefault="00DF101A" w:rsidP="00986619">
            <w:pPr>
              <w:pStyle w:val="Header"/>
              <w:numPr>
                <w:ilvl w:val="0"/>
                <w:numId w:val="2"/>
              </w:numPr>
              <w:spacing w:before="120" w:after="120"/>
              <w:jc w:val="both"/>
            </w:pPr>
            <w:r>
              <w:t xml:space="preserve">more than that applicable amount, </w:t>
            </w:r>
            <w:r w:rsidRPr="00C37BE8">
              <w:t>but not more than uncertain damages to the landlord related to the late payment of rent, including direct o</w:t>
            </w:r>
            <w:r w:rsidRPr="00C37BE8">
              <w:t>r indirect expenses, direct or indirect costs, or overhead associated with the collection of late payment.</w:t>
            </w:r>
          </w:p>
          <w:p w:rsidR="00CD16B1" w:rsidRDefault="00DF101A" w:rsidP="00986619">
            <w:pPr>
              <w:pStyle w:val="Header"/>
              <w:spacing w:before="120" w:after="120"/>
              <w:jc w:val="both"/>
            </w:pPr>
          </w:p>
          <w:p w:rsidR="0040300F" w:rsidRDefault="00DF101A" w:rsidP="00986619">
            <w:pPr>
              <w:pStyle w:val="Header"/>
              <w:spacing w:before="120" w:after="120"/>
              <w:jc w:val="both"/>
            </w:pPr>
            <w:r>
              <w:t>S.B. 1414 establishes that the combined fees of an initial late fee and a daily fee for each day the rent remains unpaid are considered to be a sing</w:t>
            </w:r>
            <w:r>
              <w:t xml:space="preserve">le late fee and specifies that the daily fee is for each day any portion of the tenant's rent remains unpaid. </w:t>
            </w:r>
            <w:r>
              <w:t xml:space="preserve">The bill changes the basis for the </w:t>
            </w:r>
            <w:r>
              <w:t xml:space="preserve">portion of the </w:t>
            </w:r>
            <w:r>
              <w:t xml:space="preserve">amount a landlord is liable to a tenant </w:t>
            </w:r>
            <w:r>
              <w:t>for a violation that relates to</w:t>
            </w:r>
            <w:r>
              <w:t xml:space="preserve"> a late fee from </w:t>
            </w:r>
            <w:r>
              <w:t>three ti</w:t>
            </w:r>
            <w:r>
              <w:t>mes the amount of the</w:t>
            </w:r>
            <w:r>
              <w:t xml:space="preserve"> late fee charge</w:t>
            </w:r>
            <w:r>
              <w:t>d to three times the amount of the</w:t>
            </w:r>
            <w:r>
              <w:t xml:space="preserve"> late fee collected</w:t>
            </w:r>
            <w:r>
              <w:t xml:space="preserve">. </w:t>
            </w:r>
          </w:p>
          <w:p w:rsidR="0040300F" w:rsidRDefault="00DF101A" w:rsidP="00986619">
            <w:pPr>
              <w:pStyle w:val="Header"/>
              <w:spacing w:before="120" w:after="120"/>
              <w:jc w:val="both"/>
            </w:pPr>
          </w:p>
          <w:p w:rsidR="008423E4" w:rsidRPr="00835628" w:rsidRDefault="00DF101A" w:rsidP="00986619">
            <w:pPr>
              <w:pStyle w:val="Header"/>
              <w:tabs>
                <w:tab w:val="clear" w:pos="4320"/>
                <w:tab w:val="clear" w:pos="8640"/>
              </w:tabs>
              <w:spacing w:before="120" w:after="120"/>
              <w:jc w:val="both"/>
              <w:rPr>
                <w:b/>
              </w:rPr>
            </w:pPr>
            <w:r>
              <w:t xml:space="preserve">S.B. 1414 </w:t>
            </w:r>
            <w:r>
              <w:t xml:space="preserve">authorizes a tenant to </w:t>
            </w:r>
            <w:r w:rsidRPr="00C37BE8">
              <w:t>request that the landlord provide to the tenant a written statement of whether the tenant owes a late fee to the landlord and, if</w:t>
            </w:r>
            <w:r w:rsidRPr="00C37BE8">
              <w:t xml:space="preserve"> s</w:t>
            </w:r>
            <w:r>
              <w:t>o, the amount of the late fee. The bill authorizes t</w:t>
            </w:r>
            <w:r w:rsidRPr="00C37BE8">
              <w:t xml:space="preserve">he landlord </w:t>
            </w:r>
            <w:r>
              <w:t>to</w:t>
            </w:r>
            <w:r w:rsidRPr="00C37BE8">
              <w:t xml:space="preserve"> provide the statement to the tenant by any established means regularly used for written communication between the landlord and the tenant</w:t>
            </w:r>
            <w:r>
              <w:t xml:space="preserve"> and establishes that a</w:t>
            </w:r>
            <w:r w:rsidRPr="00C37BE8">
              <w:t xml:space="preserve"> landlord's failure to resp</w:t>
            </w:r>
            <w:r w:rsidRPr="00C37BE8">
              <w:t>ond does not affect the tenant's liability for any late fee owed to the landlord.</w:t>
            </w:r>
            <w:r>
              <w:t xml:space="preserve">       </w:t>
            </w:r>
          </w:p>
        </w:tc>
      </w:tr>
      <w:tr w:rsidR="00AC124E" w:rsidTr="00345119">
        <w:tc>
          <w:tcPr>
            <w:tcW w:w="9576" w:type="dxa"/>
          </w:tcPr>
          <w:p w:rsidR="008423E4" w:rsidRPr="00A8133F" w:rsidRDefault="00DF101A" w:rsidP="00986619">
            <w:pPr>
              <w:rPr>
                <w:b/>
              </w:rPr>
            </w:pPr>
            <w:r w:rsidRPr="009C1E9A">
              <w:rPr>
                <w:b/>
                <w:u w:val="single"/>
              </w:rPr>
              <w:t>EFFECTIVE DATE</w:t>
            </w:r>
            <w:r>
              <w:rPr>
                <w:b/>
              </w:rPr>
              <w:t xml:space="preserve"> </w:t>
            </w:r>
          </w:p>
          <w:p w:rsidR="008423E4" w:rsidRDefault="00DF101A" w:rsidP="00986619"/>
          <w:p w:rsidR="008423E4" w:rsidRPr="00233FDB" w:rsidRDefault="00DF101A" w:rsidP="00986619">
            <w:pPr>
              <w:pStyle w:val="Header"/>
              <w:tabs>
                <w:tab w:val="clear" w:pos="4320"/>
                <w:tab w:val="clear" w:pos="8640"/>
              </w:tabs>
              <w:jc w:val="both"/>
              <w:rPr>
                <w:b/>
              </w:rPr>
            </w:pPr>
            <w:r>
              <w:t>September 1, 2019.</w:t>
            </w:r>
          </w:p>
        </w:tc>
      </w:tr>
    </w:tbl>
    <w:p w:rsidR="008423E4" w:rsidRPr="00BE0E75" w:rsidRDefault="00DF101A" w:rsidP="008423E4">
      <w:pPr>
        <w:spacing w:line="480" w:lineRule="auto"/>
        <w:jc w:val="both"/>
        <w:rPr>
          <w:rFonts w:ascii="Arial" w:hAnsi="Arial"/>
          <w:sz w:val="16"/>
          <w:szCs w:val="16"/>
        </w:rPr>
      </w:pPr>
    </w:p>
    <w:p w:rsidR="004108C3" w:rsidRPr="008423E4" w:rsidRDefault="00DF101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101A">
      <w:r>
        <w:separator/>
      </w:r>
    </w:p>
  </w:endnote>
  <w:endnote w:type="continuationSeparator" w:id="0">
    <w:p w:rsidR="00000000" w:rsidRDefault="00DF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1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C124E" w:rsidTr="009C1E9A">
      <w:trPr>
        <w:cantSplit/>
      </w:trPr>
      <w:tc>
        <w:tcPr>
          <w:tcW w:w="0" w:type="pct"/>
        </w:tcPr>
        <w:p w:rsidR="00137D90" w:rsidRDefault="00DF101A" w:rsidP="009C1E9A">
          <w:pPr>
            <w:pStyle w:val="Footer"/>
            <w:tabs>
              <w:tab w:val="clear" w:pos="8640"/>
              <w:tab w:val="right" w:pos="9360"/>
            </w:tabs>
          </w:pPr>
        </w:p>
      </w:tc>
      <w:tc>
        <w:tcPr>
          <w:tcW w:w="2395" w:type="pct"/>
        </w:tcPr>
        <w:p w:rsidR="00137D90" w:rsidRDefault="00DF101A" w:rsidP="009C1E9A">
          <w:pPr>
            <w:pStyle w:val="Footer"/>
            <w:tabs>
              <w:tab w:val="clear" w:pos="8640"/>
              <w:tab w:val="right" w:pos="9360"/>
            </w:tabs>
          </w:pPr>
        </w:p>
        <w:p w:rsidR="001A4310" w:rsidRDefault="00DF101A" w:rsidP="009C1E9A">
          <w:pPr>
            <w:pStyle w:val="Footer"/>
            <w:tabs>
              <w:tab w:val="clear" w:pos="8640"/>
              <w:tab w:val="right" w:pos="9360"/>
            </w:tabs>
          </w:pPr>
        </w:p>
        <w:p w:rsidR="00137D90" w:rsidRDefault="00DF101A" w:rsidP="009C1E9A">
          <w:pPr>
            <w:pStyle w:val="Footer"/>
            <w:tabs>
              <w:tab w:val="clear" w:pos="8640"/>
              <w:tab w:val="right" w:pos="9360"/>
            </w:tabs>
          </w:pPr>
        </w:p>
      </w:tc>
      <w:tc>
        <w:tcPr>
          <w:tcW w:w="2453" w:type="pct"/>
        </w:tcPr>
        <w:p w:rsidR="00137D90" w:rsidRDefault="00DF101A" w:rsidP="009C1E9A">
          <w:pPr>
            <w:pStyle w:val="Footer"/>
            <w:tabs>
              <w:tab w:val="clear" w:pos="8640"/>
              <w:tab w:val="right" w:pos="9360"/>
            </w:tabs>
            <w:jc w:val="right"/>
          </w:pPr>
        </w:p>
      </w:tc>
    </w:tr>
    <w:tr w:rsidR="00AC124E" w:rsidTr="009C1E9A">
      <w:trPr>
        <w:cantSplit/>
      </w:trPr>
      <w:tc>
        <w:tcPr>
          <w:tcW w:w="0" w:type="pct"/>
        </w:tcPr>
        <w:p w:rsidR="00EC379B" w:rsidRDefault="00DF101A" w:rsidP="009C1E9A">
          <w:pPr>
            <w:pStyle w:val="Footer"/>
            <w:tabs>
              <w:tab w:val="clear" w:pos="8640"/>
              <w:tab w:val="right" w:pos="9360"/>
            </w:tabs>
          </w:pPr>
        </w:p>
      </w:tc>
      <w:tc>
        <w:tcPr>
          <w:tcW w:w="2395" w:type="pct"/>
        </w:tcPr>
        <w:p w:rsidR="00EC379B" w:rsidRPr="009C1E9A" w:rsidRDefault="00DF101A" w:rsidP="009C1E9A">
          <w:pPr>
            <w:pStyle w:val="Footer"/>
            <w:tabs>
              <w:tab w:val="clear" w:pos="8640"/>
              <w:tab w:val="right" w:pos="9360"/>
            </w:tabs>
            <w:rPr>
              <w:rFonts w:ascii="Shruti" w:hAnsi="Shruti"/>
              <w:sz w:val="22"/>
            </w:rPr>
          </w:pPr>
          <w:r>
            <w:rPr>
              <w:rFonts w:ascii="Shruti" w:hAnsi="Shruti"/>
              <w:sz w:val="22"/>
            </w:rPr>
            <w:t>86R 34602</w:t>
          </w:r>
        </w:p>
      </w:tc>
      <w:tc>
        <w:tcPr>
          <w:tcW w:w="2453" w:type="pct"/>
        </w:tcPr>
        <w:p w:rsidR="00EC379B" w:rsidRDefault="00DF101A" w:rsidP="009C1E9A">
          <w:pPr>
            <w:pStyle w:val="Footer"/>
            <w:tabs>
              <w:tab w:val="clear" w:pos="8640"/>
              <w:tab w:val="right" w:pos="9360"/>
            </w:tabs>
            <w:jc w:val="right"/>
          </w:pPr>
          <w:r>
            <w:fldChar w:fldCharType="begin"/>
          </w:r>
          <w:r>
            <w:instrText xml:space="preserve"> DOCPROPERTY  OTID  \* MERGEFORMAT </w:instrText>
          </w:r>
          <w:r>
            <w:fldChar w:fldCharType="separate"/>
          </w:r>
          <w:r>
            <w:t>19.135.1337</w:t>
          </w:r>
          <w:r>
            <w:fldChar w:fldCharType="end"/>
          </w:r>
        </w:p>
      </w:tc>
    </w:tr>
    <w:tr w:rsidR="00AC124E" w:rsidTr="009C1E9A">
      <w:trPr>
        <w:cantSplit/>
      </w:trPr>
      <w:tc>
        <w:tcPr>
          <w:tcW w:w="0" w:type="pct"/>
        </w:tcPr>
        <w:p w:rsidR="00EC379B" w:rsidRDefault="00DF101A" w:rsidP="009C1E9A">
          <w:pPr>
            <w:pStyle w:val="Footer"/>
            <w:tabs>
              <w:tab w:val="clear" w:pos="4320"/>
              <w:tab w:val="clear" w:pos="8640"/>
              <w:tab w:val="left" w:pos="2865"/>
            </w:tabs>
          </w:pPr>
        </w:p>
      </w:tc>
      <w:tc>
        <w:tcPr>
          <w:tcW w:w="2395" w:type="pct"/>
        </w:tcPr>
        <w:p w:rsidR="00EC379B" w:rsidRPr="009C1E9A" w:rsidRDefault="00DF101A" w:rsidP="009C1E9A">
          <w:pPr>
            <w:pStyle w:val="Footer"/>
            <w:tabs>
              <w:tab w:val="clear" w:pos="4320"/>
              <w:tab w:val="clear" w:pos="8640"/>
              <w:tab w:val="left" w:pos="2865"/>
            </w:tabs>
            <w:rPr>
              <w:rFonts w:ascii="Shruti" w:hAnsi="Shruti"/>
              <w:sz w:val="22"/>
            </w:rPr>
          </w:pPr>
        </w:p>
      </w:tc>
      <w:tc>
        <w:tcPr>
          <w:tcW w:w="2453" w:type="pct"/>
        </w:tcPr>
        <w:p w:rsidR="00EC379B" w:rsidRDefault="00DF101A" w:rsidP="006D504F">
          <w:pPr>
            <w:pStyle w:val="Footer"/>
            <w:rPr>
              <w:rStyle w:val="PageNumber"/>
            </w:rPr>
          </w:pPr>
        </w:p>
        <w:p w:rsidR="00EC379B" w:rsidRDefault="00DF101A" w:rsidP="009C1E9A">
          <w:pPr>
            <w:pStyle w:val="Footer"/>
            <w:tabs>
              <w:tab w:val="clear" w:pos="8640"/>
              <w:tab w:val="right" w:pos="9360"/>
            </w:tabs>
            <w:jc w:val="right"/>
          </w:pPr>
        </w:p>
      </w:tc>
    </w:tr>
    <w:tr w:rsidR="00AC124E" w:rsidTr="009C1E9A">
      <w:trPr>
        <w:cantSplit/>
        <w:trHeight w:val="323"/>
      </w:trPr>
      <w:tc>
        <w:tcPr>
          <w:tcW w:w="0" w:type="pct"/>
          <w:gridSpan w:val="3"/>
        </w:tcPr>
        <w:p w:rsidR="00EC379B" w:rsidRDefault="00DF10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F101A" w:rsidP="009C1E9A">
          <w:pPr>
            <w:pStyle w:val="Footer"/>
            <w:tabs>
              <w:tab w:val="clear" w:pos="8640"/>
              <w:tab w:val="right" w:pos="9360"/>
            </w:tabs>
            <w:jc w:val="center"/>
          </w:pPr>
        </w:p>
      </w:tc>
    </w:tr>
  </w:tbl>
  <w:p w:rsidR="00EC379B" w:rsidRPr="00FF6F72" w:rsidRDefault="00DF101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101A">
      <w:r>
        <w:separator/>
      </w:r>
    </w:p>
  </w:footnote>
  <w:footnote w:type="continuationSeparator" w:id="0">
    <w:p w:rsidR="00000000" w:rsidRDefault="00DF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1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1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423"/>
    <w:multiLevelType w:val="hybridMultilevel"/>
    <w:tmpl w:val="7032AA7A"/>
    <w:lvl w:ilvl="0" w:tplc="365E0A6E">
      <w:start w:val="1"/>
      <w:numFmt w:val="bullet"/>
      <w:lvlText w:val=""/>
      <w:lvlJc w:val="left"/>
      <w:pPr>
        <w:tabs>
          <w:tab w:val="num" w:pos="720"/>
        </w:tabs>
        <w:ind w:left="720" w:hanging="360"/>
      </w:pPr>
      <w:rPr>
        <w:rFonts w:ascii="Symbol" w:hAnsi="Symbol" w:hint="default"/>
      </w:rPr>
    </w:lvl>
    <w:lvl w:ilvl="1" w:tplc="62B2B634" w:tentative="1">
      <w:start w:val="1"/>
      <w:numFmt w:val="bullet"/>
      <w:lvlText w:val="o"/>
      <w:lvlJc w:val="left"/>
      <w:pPr>
        <w:ind w:left="1440" w:hanging="360"/>
      </w:pPr>
      <w:rPr>
        <w:rFonts w:ascii="Courier New" w:hAnsi="Courier New" w:cs="Courier New" w:hint="default"/>
      </w:rPr>
    </w:lvl>
    <w:lvl w:ilvl="2" w:tplc="947A9512" w:tentative="1">
      <w:start w:val="1"/>
      <w:numFmt w:val="bullet"/>
      <w:lvlText w:val=""/>
      <w:lvlJc w:val="left"/>
      <w:pPr>
        <w:ind w:left="2160" w:hanging="360"/>
      </w:pPr>
      <w:rPr>
        <w:rFonts w:ascii="Wingdings" w:hAnsi="Wingdings" w:hint="default"/>
      </w:rPr>
    </w:lvl>
    <w:lvl w:ilvl="3" w:tplc="55482C94" w:tentative="1">
      <w:start w:val="1"/>
      <w:numFmt w:val="bullet"/>
      <w:lvlText w:val=""/>
      <w:lvlJc w:val="left"/>
      <w:pPr>
        <w:ind w:left="2880" w:hanging="360"/>
      </w:pPr>
      <w:rPr>
        <w:rFonts w:ascii="Symbol" w:hAnsi="Symbol" w:hint="default"/>
      </w:rPr>
    </w:lvl>
    <w:lvl w:ilvl="4" w:tplc="7952B5AA" w:tentative="1">
      <w:start w:val="1"/>
      <w:numFmt w:val="bullet"/>
      <w:lvlText w:val="o"/>
      <w:lvlJc w:val="left"/>
      <w:pPr>
        <w:ind w:left="3600" w:hanging="360"/>
      </w:pPr>
      <w:rPr>
        <w:rFonts w:ascii="Courier New" w:hAnsi="Courier New" w:cs="Courier New" w:hint="default"/>
      </w:rPr>
    </w:lvl>
    <w:lvl w:ilvl="5" w:tplc="C63C88B4" w:tentative="1">
      <w:start w:val="1"/>
      <w:numFmt w:val="bullet"/>
      <w:lvlText w:val=""/>
      <w:lvlJc w:val="left"/>
      <w:pPr>
        <w:ind w:left="4320" w:hanging="360"/>
      </w:pPr>
      <w:rPr>
        <w:rFonts w:ascii="Wingdings" w:hAnsi="Wingdings" w:hint="default"/>
      </w:rPr>
    </w:lvl>
    <w:lvl w:ilvl="6" w:tplc="C750BABE" w:tentative="1">
      <w:start w:val="1"/>
      <w:numFmt w:val="bullet"/>
      <w:lvlText w:val=""/>
      <w:lvlJc w:val="left"/>
      <w:pPr>
        <w:ind w:left="5040" w:hanging="360"/>
      </w:pPr>
      <w:rPr>
        <w:rFonts w:ascii="Symbol" w:hAnsi="Symbol" w:hint="default"/>
      </w:rPr>
    </w:lvl>
    <w:lvl w:ilvl="7" w:tplc="9BDAA970" w:tentative="1">
      <w:start w:val="1"/>
      <w:numFmt w:val="bullet"/>
      <w:lvlText w:val="o"/>
      <w:lvlJc w:val="left"/>
      <w:pPr>
        <w:ind w:left="5760" w:hanging="360"/>
      </w:pPr>
      <w:rPr>
        <w:rFonts w:ascii="Courier New" w:hAnsi="Courier New" w:cs="Courier New" w:hint="default"/>
      </w:rPr>
    </w:lvl>
    <w:lvl w:ilvl="8" w:tplc="CF80E6B8" w:tentative="1">
      <w:start w:val="1"/>
      <w:numFmt w:val="bullet"/>
      <w:lvlText w:val=""/>
      <w:lvlJc w:val="left"/>
      <w:pPr>
        <w:ind w:left="6480" w:hanging="360"/>
      </w:pPr>
      <w:rPr>
        <w:rFonts w:ascii="Wingdings" w:hAnsi="Wingdings" w:hint="default"/>
      </w:rPr>
    </w:lvl>
  </w:abstractNum>
  <w:abstractNum w:abstractNumId="1" w15:restartNumberingAfterBreak="0">
    <w:nsid w:val="5801799B"/>
    <w:multiLevelType w:val="hybridMultilevel"/>
    <w:tmpl w:val="1B0E52BA"/>
    <w:lvl w:ilvl="0" w:tplc="51BAA5C0">
      <w:start w:val="1"/>
      <w:numFmt w:val="bullet"/>
      <w:lvlText w:val=""/>
      <w:lvlJc w:val="left"/>
      <w:pPr>
        <w:tabs>
          <w:tab w:val="num" w:pos="780"/>
        </w:tabs>
        <w:ind w:left="780" w:hanging="360"/>
      </w:pPr>
      <w:rPr>
        <w:rFonts w:ascii="Symbol" w:hAnsi="Symbol" w:hint="default"/>
      </w:rPr>
    </w:lvl>
    <w:lvl w:ilvl="1" w:tplc="29309C0E" w:tentative="1">
      <w:start w:val="1"/>
      <w:numFmt w:val="bullet"/>
      <w:lvlText w:val="o"/>
      <w:lvlJc w:val="left"/>
      <w:pPr>
        <w:ind w:left="1500" w:hanging="360"/>
      </w:pPr>
      <w:rPr>
        <w:rFonts w:ascii="Courier New" w:hAnsi="Courier New" w:cs="Courier New" w:hint="default"/>
      </w:rPr>
    </w:lvl>
    <w:lvl w:ilvl="2" w:tplc="4E98912A" w:tentative="1">
      <w:start w:val="1"/>
      <w:numFmt w:val="bullet"/>
      <w:lvlText w:val=""/>
      <w:lvlJc w:val="left"/>
      <w:pPr>
        <w:ind w:left="2220" w:hanging="360"/>
      </w:pPr>
      <w:rPr>
        <w:rFonts w:ascii="Wingdings" w:hAnsi="Wingdings" w:hint="default"/>
      </w:rPr>
    </w:lvl>
    <w:lvl w:ilvl="3" w:tplc="9780A0EC" w:tentative="1">
      <w:start w:val="1"/>
      <w:numFmt w:val="bullet"/>
      <w:lvlText w:val=""/>
      <w:lvlJc w:val="left"/>
      <w:pPr>
        <w:ind w:left="2940" w:hanging="360"/>
      </w:pPr>
      <w:rPr>
        <w:rFonts w:ascii="Symbol" w:hAnsi="Symbol" w:hint="default"/>
      </w:rPr>
    </w:lvl>
    <w:lvl w:ilvl="4" w:tplc="2EDADA2E" w:tentative="1">
      <w:start w:val="1"/>
      <w:numFmt w:val="bullet"/>
      <w:lvlText w:val="o"/>
      <w:lvlJc w:val="left"/>
      <w:pPr>
        <w:ind w:left="3660" w:hanging="360"/>
      </w:pPr>
      <w:rPr>
        <w:rFonts w:ascii="Courier New" w:hAnsi="Courier New" w:cs="Courier New" w:hint="default"/>
      </w:rPr>
    </w:lvl>
    <w:lvl w:ilvl="5" w:tplc="96887238" w:tentative="1">
      <w:start w:val="1"/>
      <w:numFmt w:val="bullet"/>
      <w:lvlText w:val=""/>
      <w:lvlJc w:val="left"/>
      <w:pPr>
        <w:ind w:left="4380" w:hanging="360"/>
      </w:pPr>
      <w:rPr>
        <w:rFonts w:ascii="Wingdings" w:hAnsi="Wingdings" w:hint="default"/>
      </w:rPr>
    </w:lvl>
    <w:lvl w:ilvl="6" w:tplc="5D82D822" w:tentative="1">
      <w:start w:val="1"/>
      <w:numFmt w:val="bullet"/>
      <w:lvlText w:val=""/>
      <w:lvlJc w:val="left"/>
      <w:pPr>
        <w:ind w:left="5100" w:hanging="360"/>
      </w:pPr>
      <w:rPr>
        <w:rFonts w:ascii="Symbol" w:hAnsi="Symbol" w:hint="default"/>
      </w:rPr>
    </w:lvl>
    <w:lvl w:ilvl="7" w:tplc="4F14494E" w:tentative="1">
      <w:start w:val="1"/>
      <w:numFmt w:val="bullet"/>
      <w:lvlText w:val="o"/>
      <w:lvlJc w:val="left"/>
      <w:pPr>
        <w:ind w:left="5820" w:hanging="360"/>
      </w:pPr>
      <w:rPr>
        <w:rFonts w:ascii="Courier New" w:hAnsi="Courier New" w:cs="Courier New" w:hint="default"/>
      </w:rPr>
    </w:lvl>
    <w:lvl w:ilvl="8" w:tplc="998C0CFA" w:tentative="1">
      <w:start w:val="1"/>
      <w:numFmt w:val="bullet"/>
      <w:lvlText w:val=""/>
      <w:lvlJc w:val="left"/>
      <w:pPr>
        <w:ind w:left="6540" w:hanging="360"/>
      </w:pPr>
      <w:rPr>
        <w:rFonts w:ascii="Wingdings" w:hAnsi="Wingdings" w:hint="default"/>
      </w:rPr>
    </w:lvl>
  </w:abstractNum>
  <w:abstractNum w:abstractNumId="2" w15:restartNumberingAfterBreak="0">
    <w:nsid w:val="59DD2FCC"/>
    <w:multiLevelType w:val="hybridMultilevel"/>
    <w:tmpl w:val="D0421872"/>
    <w:lvl w:ilvl="0" w:tplc="059206F0">
      <w:start w:val="1"/>
      <w:numFmt w:val="bullet"/>
      <w:lvlText w:val=""/>
      <w:lvlJc w:val="left"/>
      <w:pPr>
        <w:tabs>
          <w:tab w:val="num" w:pos="720"/>
        </w:tabs>
        <w:ind w:left="720" w:hanging="360"/>
      </w:pPr>
      <w:rPr>
        <w:rFonts w:ascii="Symbol" w:hAnsi="Symbol" w:hint="default"/>
      </w:rPr>
    </w:lvl>
    <w:lvl w:ilvl="1" w:tplc="78583E2E" w:tentative="1">
      <w:start w:val="1"/>
      <w:numFmt w:val="bullet"/>
      <w:lvlText w:val="o"/>
      <w:lvlJc w:val="left"/>
      <w:pPr>
        <w:ind w:left="1440" w:hanging="360"/>
      </w:pPr>
      <w:rPr>
        <w:rFonts w:ascii="Courier New" w:hAnsi="Courier New" w:cs="Courier New" w:hint="default"/>
      </w:rPr>
    </w:lvl>
    <w:lvl w:ilvl="2" w:tplc="D35ADE0A" w:tentative="1">
      <w:start w:val="1"/>
      <w:numFmt w:val="bullet"/>
      <w:lvlText w:val=""/>
      <w:lvlJc w:val="left"/>
      <w:pPr>
        <w:ind w:left="2160" w:hanging="360"/>
      </w:pPr>
      <w:rPr>
        <w:rFonts w:ascii="Wingdings" w:hAnsi="Wingdings" w:hint="default"/>
      </w:rPr>
    </w:lvl>
    <w:lvl w:ilvl="3" w:tplc="A2A2C7BC" w:tentative="1">
      <w:start w:val="1"/>
      <w:numFmt w:val="bullet"/>
      <w:lvlText w:val=""/>
      <w:lvlJc w:val="left"/>
      <w:pPr>
        <w:ind w:left="2880" w:hanging="360"/>
      </w:pPr>
      <w:rPr>
        <w:rFonts w:ascii="Symbol" w:hAnsi="Symbol" w:hint="default"/>
      </w:rPr>
    </w:lvl>
    <w:lvl w:ilvl="4" w:tplc="070C9742" w:tentative="1">
      <w:start w:val="1"/>
      <w:numFmt w:val="bullet"/>
      <w:lvlText w:val="o"/>
      <w:lvlJc w:val="left"/>
      <w:pPr>
        <w:ind w:left="3600" w:hanging="360"/>
      </w:pPr>
      <w:rPr>
        <w:rFonts w:ascii="Courier New" w:hAnsi="Courier New" w:cs="Courier New" w:hint="default"/>
      </w:rPr>
    </w:lvl>
    <w:lvl w:ilvl="5" w:tplc="52C25458" w:tentative="1">
      <w:start w:val="1"/>
      <w:numFmt w:val="bullet"/>
      <w:lvlText w:val=""/>
      <w:lvlJc w:val="left"/>
      <w:pPr>
        <w:ind w:left="4320" w:hanging="360"/>
      </w:pPr>
      <w:rPr>
        <w:rFonts w:ascii="Wingdings" w:hAnsi="Wingdings" w:hint="default"/>
      </w:rPr>
    </w:lvl>
    <w:lvl w:ilvl="6" w:tplc="3E58288E" w:tentative="1">
      <w:start w:val="1"/>
      <w:numFmt w:val="bullet"/>
      <w:lvlText w:val=""/>
      <w:lvlJc w:val="left"/>
      <w:pPr>
        <w:ind w:left="5040" w:hanging="360"/>
      </w:pPr>
      <w:rPr>
        <w:rFonts w:ascii="Symbol" w:hAnsi="Symbol" w:hint="default"/>
      </w:rPr>
    </w:lvl>
    <w:lvl w:ilvl="7" w:tplc="577202BE" w:tentative="1">
      <w:start w:val="1"/>
      <w:numFmt w:val="bullet"/>
      <w:lvlText w:val="o"/>
      <w:lvlJc w:val="left"/>
      <w:pPr>
        <w:ind w:left="5760" w:hanging="360"/>
      </w:pPr>
      <w:rPr>
        <w:rFonts w:ascii="Courier New" w:hAnsi="Courier New" w:cs="Courier New" w:hint="default"/>
      </w:rPr>
    </w:lvl>
    <w:lvl w:ilvl="8" w:tplc="810C304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4E"/>
    <w:rsid w:val="00AC124E"/>
    <w:rsid w:val="00D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C8B490-95B0-4846-9EC3-D14D7BF8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22F8"/>
    <w:rPr>
      <w:sz w:val="16"/>
      <w:szCs w:val="16"/>
    </w:rPr>
  </w:style>
  <w:style w:type="paragraph" w:styleId="CommentText">
    <w:name w:val="annotation text"/>
    <w:basedOn w:val="Normal"/>
    <w:link w:val="CommentTextChar"/>
    <w:semiHidden/>
    <w:unhideWhenUsed/>
    <w:rsid w:val="00DB22F8"/>
    <w:rPr>
      <w:sz w:val="20"/>
      <w:szCs w:val="20"/>
    </w:rPr>
  </w:style>
  <w:style w:type="character" w:customStyle="1" w:styleId="CommentTextChar">
    <w:name w:val="Comment Text Char"/>
    <w:basedOn w:val="DefaultParagraphFont"/>
    <w:link w:val="CommentText"/>
    <w:semiHidden/>
    <w:rsid w:val="00DB22F8"/>
  </w:style>
  <w:style w:type="paragraph" w:styleId="CommentSubject">
    <w:name w:val="annotation subject"/>
    <w:basedOn w:val="CommentText"/>
    <w:next w:val="CommentText"/>
    <w:link w:val="CommentSubjectChar"/>
    <w:semiHidden/>
    <w:unhideWhenUsed/>
    <w:rsid w:val="00B97949"/>
    <w:rPr>
      <w:b/>
      <w:bCs/>
    </w:rPr>
  </w:style>
  <w:style w:type="character" w:customStyle="1" w:styleId="CommentSubjectChar">
    <w:name w:val="Comment Subject Char"/>
    <w:basedOn w:val="CommentTextChar"/>
    <w:link w:val="CommentSubject"/>
    <w:semiHidden/>
    <w:rsid w:val="00B97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2933</Characters>
  <Application>Microsoft Office Word</Application>
  <DocSecurity>4</DocSecurity>
  <Lines>68</Lines>
  <Paragraphs>22</Paragraphs>
  <ScaleCrop>false</ScaleCrop>
  <HeadingPairs>
    <vt:vector size="2" baseType="variant">
      <vt:variant>
        <vt:lpstr>Title</vt:lpstr>
      </vt:variant>
      <vt:variant>
        <vt:i4>1</vt:i4>
      </vt:variant>
    </vt:vector>
  </HeadingPairs>
  <TitlesOfParts>
    <vt:vector size="1" baseType="lpstr">
      <vt:lpstr>BA - SB01414 (Committee Report (Unamended))</vt:lpstr>
    </vt:vector>
  </TitlesOfParts>
  <Company>State of Texas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34602</dc:subject>
  <dc:creator>State of Texas</dc:creator>
  <dc:description>SB 1414 by Hancock-(H)Business &amp; Industry</dc:description>
  <cp:lastModifiedBy>Laura Ramsay</cp:lastModifiedBy>
  <cp:revision>2</cp:revision>
  <cp:lastPrinted>2003-11-26T17:21:00Z</cp:lastPrinted>
  <dcterms:created xsi:type="dcterms:W3CDTF">2019-05-15T23:38:00Z</dcterms:created>
  <dcterms:modified xsi:type="dcterms:W3CDTF">2019-05-15T23:38:00Z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19.135.1337</vt:lpwstr>
  </property>
</Properties>
</file>