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07" w:rsidRDefault="00DC0A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90D8ED4F2A4894A460B343B8A6C5E3"/>
          </w:placeholder>
        </w:sdtPr>
        <w:sdtContent>
          <w:r w:rsidRPr="005C2A78">
            <w:rPr>
              <w:rFonts w:cs="Times New Roman"/>
              <w:b/>
              <w:szCs w:val="24"/>
              <w:u w:val="single"/>
            </w:rPr>
            <w:t>BILL ANALYSIS</w:t>
          </w:r>
        </w:sdtContent>
      </w:sdt>
    </w:p>
    <w:p w:rsidR="00DC0A07" w:rsidRPr="00585C31" w:rsidRDefault="00DC0A07" w:rsidP="000F1DF9">
      <w:pPr>
        <w:spacing w:after="0" w:line="240" w:lineRule="auto"/>
        <w:rPr>
          <w:rFonts w:cs="Times New Roman"/>
          <w:szCs w:val="24"/>
        </w:rPr>
      </w:pPr>
    </w:p>
    <w:p w:rsidR="00DC0A07" w:rsidRPr="00585C31" w:rsidRDefault="00DC0A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0A07" w:rsidTr="000F1DF9">
        <w:tc>
          <w:tcPr>
            <w:tcW w:w="2718" w:type="dxa"/>
          </w:tcPr>
          <w:p w:rsidR="00DC0A07" w:rsidRPr="005C2A78" w:rsidRDefault="00DC0A07" w:rsidP="006D756B">
            <w:pPr>
              <w:rPr>
                <w:rFonts w:cs="Times New Roman"/>
                <w:szCs w:val="24"/>
              </w:rPr>
            </w:pPr>
            <w:sdt>
              <w:sdtPr>
                <w:rPr>
                  <w:rFonts w:cs="Times New Roman"/>
                  <w:szCs w:val="24"/>
                </w:rPr>
                <w:alias w:val="Agency Title"/>
                <w:tag w:val="AgencyTitleContentControl"/>
                <w:id w:val="1920747753"/>
                <w:lock w:val="sdtContentLocked"/>
                <w:placeholder>
                  <w:docPart w:val="405F366C352647F9805E3F5FAA61389B"/>
                </w:placeholder>
              </w:sdtPr>
              <w:sdtEndPr>
                <w:rPr>
                  <w:rFonts w:cstheme="minorBidi"/>
                  <w:szCs w:val="22"/>
                </w:rPr>
              </w:sdtEndPr>
              <w:sdtContent>
                <w:r>
                  <w:rPr>
                    <w:rFonts w:cs="Times New Roman"/>
                    <w:szCs w:val="24"/>
                  </w:rPr>
                  <w:t>Senate Research Center</w:t>
                </w:r>
              </w:sdtContent>
            </w:sdt>
          </w:p>
        </w:tc>
        <w:tc>
          <w:tcPr>
            <w:tcW w:w="6858" w:type="dxa"/>
          </w:tcPr>
          <w:p w:rsidR="00DC0A07" w:rsidRPr="00FF6471" w:rsidRDefault="00DC0A07" w:rsidP="000F1DF9">
            <w:pPr>
              <w:jc w:val="right"/>
              <w:rPr>
                <w:rFonts w:cs="Times New Roman"/>
                <w:szCs w:val="24"/>
              </w:rPr>
            </w:pPr>
            <w:sdt>
              <w:sdtPr>
                <w:rPr>
                  <w:rFonts w:cs="Times New Roman"/>
                  <w:szCs w:val="24"/>
                </w:rPr>
                <w:alias w:val="Bill Number"/>
                <w:tag w:val="BillNumberOne"/>
                <w:id w:val="-410784069"/>
                <w:lock w:val="sdtContentLocked"/>
                <w:placeholder>
                  <w:docPart w:val="7CD2D03AC5FD425EA9CED18E0815B5B6"/>
                </w:placeholder>
              </w:sdtPr>
              <w:sdtContent>
                <w:r>
                  <w:rPr>
                    <w:rFonts w:cs="Times New Roman"/>
                    <w:szCs w:val="24"/>
                  </w:rPr>
                  <w:t>S.B. 1456</w:t>
                </w:r>
              </w:sdtContent>
            </w:sdt>
          </w:p>
        </w:tc>
      </w:tr>
      <w:tr w:rsidR="00DC0A07" w:rsidTr="000F1DF9">
        <w:sdt>
          <w:sdtPr>
            <w:rPr>
              <w:rFonts w:cs="Times New Roman"/>
              <w:szCs w:val="24"/>
            </w:rPr>
            <w:alias w:val="TLCNumber"/>
            <w:tag w:val="TLCNumber"/>
            <w:id w:val="-542600604"/>
            <w:lock w:val="sdtLocked"/>
            <w:placeholder>
              <w:docPart w:val="A7E1B5D64B894C05A90B51CB5A1180A2"/>
            </w:placeholder>
          </w:sdtPr>
          <w:sdtContent>
            <w:tc>
              <w:tcPr>
                <w:tcW w:w="2718" w:type="dxa"/>
              </w:tcPr>
              <w:p w:rsidR="00DC0A07" w:rsidRPr="000F1DF9" w:rsidRDefault="00DC0A07" w:rsidP="00C65088">
                <w:pPr>
                  <w:rPr>
                    <w:rFonts w:cs="Times New Roman"/>
                    <w:szCs w:val="24"/>
                  </w:rPr>
                </w:pPr>
                <w:r>
                  <w:rPr>
                    <w:rFonts w:cs="Times New Roman"/>
                    <w:szCs w:val="24"/>
                  </w:rPr>
                  <w:t>86R12425 MTB-D</w:t>
                </w:r>
              </w:p>
            </w:tc>
          </w:sdtContent>
        </w:sdt>
        <w:tc>
          <w:tcPr>
            <w:tcW w:w="6858" w:type="dxa"/>
          </w:tcPr>
          <w:p w:rsidR="00DC0A07" w:rsidRPr="005C2A78" w:rsidRDefault="00DC0A07" w:rsidP="006D756B">
            <w:pPr>
              <w:jc w:val="right"/>
              <w:rPr>
                <w:rFonts w:cs="Times New Roman"/>
                <w:szCs w:val="24"/>
              </w:rPr>
            </w:pPr>
            <w:sdt>
              <w:sdtPr>
                <w:rPr>
                  <w:rFonts w:cs="Times New Roman"/>
                  <w:szCs w:val="24"/>
                </w:rPr>
                <w:alias w:val="Author Label"/>
                <w:tag w:val="By"/>
                <w:id w:val="72399597"/>
                <w:lock w:val="sdtLocked"/>
                <w:placeholder>
                  <w:docPart w:val="7757638F1409496EAACC623A99A98D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EF6C706E3846149EE7A120A3955E2F"/>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3BDD6C0268EC4248A8A8C8F632540963"/>
                </w:placeholder>
                <w:showingPlcHdr/>
              </w:sdtPr>
              <w:sdtContent/>
            </w:sdt>
          </w:p>
        </w:tc>
      </w:tr>
      <w:tr w:rsidR="00DC0A07" w:rsidTr="000F1DF9">
        <w:tc>
          <w:tcPr>
            <w:tcW w:w="2718" w:type="dxa"/>
          </w:tcPr>
          <w:p w:rsidR="00DC0A07" w:rsidRPr="00BC7495" w:rsidRDefault="00DC0A07" w:rsidP="000F1DF9">
            <w:pPr>
              <w:rPr>
                <w:rFonts w:cs="Times New Roman"/>
                <w:szCs w:val="24"/>
              </w:rPr>
            </w:pPr>
          </w:p>
        </w:tc>
        <w:sdt>
          <w:sdtPr>
            <w:rPr>
              <w:rFonts w:cs="Times New Roman"/>
              <w:szCs w:val="24"/>
            </w:rPr>
            <w:alias w:val="Committee"/>
            <w:tag w:val="Committee"/>
            <w:id w:val="1914272295"/>
            <w:lock w:val="sdtContentLocked"/>
            <w:placeholder>
              <w:docPart w:val="6F30D687496F4FAA8FC7ADACED00335E"/>
            </w:placeholder>
          </w:sdtPr>
          <w:sdtContent>
            <w:tc>
              <w:tcPr>
                <w:tcW w:w="6858" w:type="dxa"/>
              </w:tcPr>
              <w:p w:rsidR="00DC0A07" w:rsidRPr="00FF6471" w:rsidRDefault="00DC0A07" w:rsidP="000F1DF9">
                <w:pPr>
                  <w:jc w:val="right"/>
                  <w:rPr>
                    <w:rFonts w:cs="Times New Roman"/>
                    <w:szCs w:val="24"/>
                  </w:rPr>
                </w:pPr>
                <w:r>
                  <w:rPr>
                    <w:rFonts w:cs="Times New Roman"/>
                    <w:szCs w:val="24"/>
                  </w:rPr>
                  <w:t>Business &amp; Commerce</w:t>
                </w:r>
              </w:p>
            </w:tc>
          </w:sdtContent>
        </w:sdt>
      </w:tr>
      <w:tr w:rsidR="00DC0A07" w:rsidTr="000F1DF9">
        <w:tc>
          <w:tcPr>
            <w:tcW w:w="2718" w:type="dxa"/>
          </w:tcPr>
          <w:p w:rsidR="00DC0A07" w:rsidRPr="00BC7495" w:rsidRDefault="00DC0A07" w:rsidP="000F1DF9">
            <w:pPr>
              <w:rPr>
                <w:rFonts w:cs="Times New Roman"/>
                <w:szCs w:val="24"/>
              </w:rPr>
            </w:pPr>
          </w:p>
        </w:tc>
        <w:sdt>
          <w:sdtPr>
            <w:rPr>
              <w:rFonts w:cs="Times New Roman"/>
              <w:szCs w:val="24"/>
            </w:rPr>
            <w:alias w:val="Date"/>
            <w:tag w:val="DateContentControl"/>
            <w:id w:val="1178081906"/>
            <w:lock w:val="sdtLocked"/>
            <w:placeholder>
              <w:docPart w:val="15DE750101EC46A298BDA0E65543AFE6"/>
            </w:placeholder>
            <w:date w:fullDate="2019-04-22T00:00:00Z">
              <w:dateFormat w:val="M/d/yyyy"/>
              <w:lid w:val="en-US"/>
              <w:storeMappedDataAs w:val="dateTime"/>
              <w:calendar w:val="gregorian"/>
            </w:date>
          </w:sdtPr>
          <w:sdtContent>
            <w:tc>
              <w:tcPr>
                <w:tcW w:w="6858" w:type="dxa"/>
              </w:tcPr>
              <w:p w:rsidR="00DC0A07" w:rsidRPr="00FF6471" w:rsidRDefault="00DC0A07" w:rsidP="000F1DF9">
                <w:pPr>
                  <w:jc w:val="right"/>
                  <w:rPr>
                    <w:rFonts w:cs="Times New Roman"/>
                    <w:szCs w:val="24"/>
                  </w:rPr>
                </w:pPr>
                <w:r>
                  <w:rPr>
                    <w:rFonts w:cs="Times New Roman"/>
                    <w:szCs w:val="24"/>
                  </w:rPr>
                  <w:t>4/22/2019</w:t>
                </w:r>
              </w:p>
            </w:tc>
          </w:sdtContent>
        </w:sdt>
      </w:tr>
      <w:tr w:rsidR="00DC0A07" w:rsidTr="000F1DF9">
        <w:tc>
          <w:tcPr>
            <w:tcW w:w="2718" w:type="dxa"/>
          </w:tcPr>
          <w:p w:rsidR="00DC0A07" w:rsidRPr="00BC7495" w:rsidRDefault="00DC0A07" w:rsidP="000F1DF9">
            <w:pPr>
              <w:rPr>
                <w:rFonts w:cs="Times New Roman"/>
                <w:szCs w:val="24"/>
              </w:rPr>
            </w:pPr>
          </w:p>
        </w:tc>
        <w:sdt>
          <w:sdtPr>
            <w:rPr>
              <w:rFonts w:cs="Times New Roman"/>
              <w:szCs w:val="24"/>
            </w:rPr>
            <w:alias w:val="BA Version"/>
            <w:tag w:val="BAVersion"/>
            <w:id w:val="-1685590809"/>
            <w:lock w:val="sdtContentLocked"/>
            <w:placeholder>
              <w:docPart w:val="78A14F3731224AEBA85168E5A58D3738"/>
            </w:placeholder>
          </w:sdtPr>
          <w:sdtContent>
            <w:tc>
              <w:tcPr>
                <w:tcW w:w="6858" w:type="dxa"/>
              </w:tcPr>
              <w:p w:rsidR="00DC0A07" w:rsidRPr="00FF6471" w:rsidRDefault="00DC0A07" w:rsidP="000F1DF9">
                <w:pPr>
                  <w:jc w:val="right"/>
                  <w:rPr>
                    <w:rFonts w:cs="Times New Roman"/>
                    <w:szCs w:val="24"/>
                  </w:rPr>
                </w:pPr>
                <w:r>
                  <w:rPr>
                    <w:rFonts w:cs="Times New Roman"/>
                    <w:szCs w:val="24"/>
                  </w:rPr>
                  <w:t>As Filed</w:t>
                </w:r>
              </w:p>
            </w:tc>
          </w:sdtContent>
        </w:sdt>
      </w:tr>
    </w:tbl>
    <w:p w:rsidR="00DC0A07" w:rsidRPr="00FF6471" w:rsidRDefault="00DC0A07" w:rsidP="000F1DF9">
      <w:pPr>
        <w:spacing w:after="0" w:line="240" w:lineRule="auto"/>
        <w:rPr>
          <w:rFonts w:cs="Times New Roman"/>
          <w:szCs w:val="24"/>
        </w:rPr>
      </w:pPr>
    </w:p>
    <w:p w:rsidR="00DC0A07" w:rsidRPr="00FF6471" w:rsidRDefault="00DC0A07" w:rsidP="000F1DF9">
      <w:pPr>
        <w:spacing w:after="0" w:line="240" w:lineRule="auto"/>
        <w:rPr>
          <w:rFonts w:cs="Times New Roman"/>
          <w:szCs w:val="24"/>
        </w:rPr>
      </w:pPr>
    </w:p>
    <w:p w:rsidR="00DC0A07" w:rsidRPr="00FF6471" w:rsidRDefault="00DC0A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C20685280445F0BED1019CCF0E8639"/>
        </w:placeholder>
      </w:sdtPr>
      <w:sdtContent>
        <w:p w:rsidR="00DC0A07" w:rsidRDefault="00DC0A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0DEAF72C5A43BA9F0CA310727D7243"/>
        </w:placeholder>
      </w:sdtPr>
      <w:sdtContent>
        <w:p w:rsidR="00DC0A07" w:rsidRDefault="00DC0A07" w:rsidP="00DC0A07">
          <w:pPr>
            <w:pStyle w:val="NormalWeb"/>
            <w:spacing w:before="0" w:beforeAutospacing="0" w:after="0" w:afterAutospacing="0"/>
            <w:jc w:val="both"/>
            <w:divId w:val="553540024"/>
            <w:rPr>
              <w:rFonts w:eastAsia="Times New Roman"/>
              <w:bCs/>
            </w:rPr>
          </w:pPr>
        </w:p>
        <w:p w:rsidR="00DC0A07" w:rsidRPr="0034126C" w:rsidRDefault="00DC0A07" w:rsidP="00DC0A07">
          <w:pPr>
            <w:pStyle w:val="NormalWeb"/>
            <w:spacing w:before="0" w:beforeAutospacing="0" w:after="0" w:afterAutospacing="0"/>
            <w:jc w:val="both"/>
            <w:divId w:val="553540024"/>
          </w:pPr>
          <w:r w:rsidRPr="0034126C">
            <w:t>Construction bonding is an insurance program to help mitigate risk on public sector projects should the construction entity goes insolvent, unable to complete project, etc. There are three types of construction bonds: payment, bid, and performance.</w:t>
          </w:r>
        </w:p>
        <w:p w:rsidR="00DC0A07" w:rsidRPr="0034126C" w:rsidRDefault="00DC0A07" w:rsidP="00DC0A07">
          <w:pPr>
            <w:pStyle w:val="NormalWeb"/>
            <w:spacing w:before="0" w:beforeAutospacing="0" w:after="0" w:afterAutospacing="0"/>
            <w:jc w:val="both"/>
            <w:divId w:val="553540024"/>
          </w:pPr>
          <w:r w:rsidRPr="0034126C">
            <w:t> </w:t>
          </w:r>
        </w:p>
        <w:p w:rsidR="00DC0A07" w:rsidRPr="0034126C" w:rsidRDefault="00DC0A07" w:rsidP="00DC0A07">
          <w:pPr>
            <w:pStyle w:val="NormalWeb"/>
            <w:spacing w:before="0" w:beforeAutospacing="0" w:after="0" w:afterAutospacing="0"/>
            <w:jc w:val="both"/>
            <w:divId w:val="553540024"/>
          </w:pPr>
          <w:r w:rsidRPr="0034126C">
            <w:t>Payment bond insures the general contractor will pay all subcontractors, bid bonding insures the contractor will honor the bid, performance bond insures the contractor will complete the contract in accordance with the terms and conditions.</w:t>
          </w:r>
        </w:p>
        <w:p w:rsidR="00DC0A07" w:rsidRPr="0034126C" w:rsidRDefault="00DC0A07" w:rsidP="00DC0A07">
          <w:pPr>
            <w:pStyle w:val="NormalWeb"/>
            <w:spacing w:before="0" w:beforeAutospacing="0" w:after="0" w:afterAutospacing="0"/>
            <w:jc w:val="both"/>
            <w:divId w:val="553540024"/>
          </w:pPr>
          <w:r w:rsidRPr="0034126C">
            <w:t> </w:t>
          </w:r>
        </w:p>
        <w:p w:rsidR="00DC0A07" w:rsidRPr="0034126C" w:rsidRDefault="00DC0A07" w:rsidP="00DC0A07">
          <w:pPr>
            <w:pStyle w:val="NormalWeb"/>
            <w:spacing w:before="0" w:beforeAutospacing="0" w:after="0" w:afterAutospacing="0"/>
            <w:jc w:val="both"/>
            <w:divId w:val="553540024"/>
          </w:pPr>
          <w:r w:rsidRPr="0034126C">
            <w:t xml:space="preserve">Currently, the </w:t>
          </w:r>
          <w:r>
            <w:t>S</w:t>
          </w:r>
          <w:r w:rsidRPr="0034126C">
            <w:t>tate of Texas requires all construction projects have a payment bond for all construction contracts over $25,000 (for non-municipalities) and performance bonds on construction contracts over $100,000, as outlined in the Section 2253.021</w:t>
          </w:r>
          <w:r>
            <w:t xml:space="preserve">, </w:t>
          </w:r>
          <w:r w:rsidRPr="0034126C">
            <w:t>Government Code.</w:t>
          </w:r>
        </w:p>
        <w:p w:rsidR="00DC0A07" w:rsidRPr="0034126C" w:rsidRDefault="00DC0A07" w:rsidP="00DC0A07">
          <w:pPr>
            <w:pStyle w:val="NormalWeb"/>
            <w:spacing w:before="0" w:beforeAutospacing="0" w:after="0" w:afterAutospacing="0"/>
            <w:jc w:val="both"/>
            <w:divId w:val="553540024"/>
          </w:pPr>
          <w:r w:rsidRPr="0034126C">
            <w:t> </w:t>
          </w:r>
        </w:p>
        <w:p w:rsidR="00DC0A07" w:rsidRPr="0034126C" w:rsidRDefault="00DC0A07" w:rsidP="00DC0A07">
          <w:pPr>
            <w:pStyle w:val="NormalWeb"/>
            <w:spacing w:before="0" w:beforeAutospacing="0" w:after="0" w:afterAutospacing="0"/>
            <w:jc w:val="both"/>
            <w:divId w:val="553540024"/>
          </w:pPr>
          <w:r w:rsidRPr="0034126C">
            <w:t>S</w:t>
          </w:r>
          <w:r>
            <w:t>.</w:t>
          </w:r>
          <w:r w:rsidRPr="0034126C">
            <w:t>B</w:t>
          </w:r>
          <w:r>
            <w:t>.</w:t>
          </w:r>
          <w:r w:rsidRPr="0034126C">
            <w:t xml:space="preserve"> 1456 seeks to raise the payment bond threshold f</w:t>
          </w:r>
          <w:r>
            <w:t>rom $25,000 to $100,000 for non</w:t>
          </w:r>
          <w:r>
            <w:noBreakHyphen/>
          </w:r>
          <w:r w:rsidRPr="0034126C">
            <w:t>municipalities. A increased payment bond threshold to $100,000 will reduce red tape, increase state's bidding pool, increase opportunities for new or smaller contractors</w:t>
          </w:r>
          <w:r>
            <w:t>, align the S</w:t>
          </w:r>
          <w:r w:rsidRPr="0034126C">
            <w:t>tate of Texas to federal standards.</w:t>
          </w:r>
        </w:p>
        <w:p w:rsidR="00DC0A07" w:rsidRPr="0034126C" w:rsidRDefault="00DC0A07" w:rsidP="00DC0A07">
          <w:pPr>
            <w:pStyle w:val="NormalWeb"/>
            <w:spacing w:before="0" w:beforeAutospacing="0" w:after="0" w:afterAutospacing="0"/>
            <w:jc w:val="both"/>
            <w:divId w:val="553540024"/>
          </w:pPr>
          <w:r w:rsidRPr="0034126C">
            <w:t> </w:t>
          </w:r>
        </w:p>
        <w:p w:rsidR="00DC0A07" w:rsidRPr="0034126C" w:rsidRDefault="00DC0A07" w:rsidP="00DC0A07">
          <w:pPr>
            <w:pStyle w:val="NormalWeb"/>
            <w:spacing w:before="0" w:beforeAutospacing="0" w:after="0" w:afterAutospacing="0"/>
            <w:jc w:val="both"/>
            <w:divId w:val="553540024"/>
          </w:pPr>
          <w:r w:rsidRPr="0034126C">
            <w:t>Obtaining a bond can be a significant hurdle for small contractors, typically requiring a large general contractor to act as a "broker" in order to bid for public projects. The increase from $25,000 to $100,000 allows more smaller contractors to pursue contracts individually. There is little risk in increasing this threshold as it is rare to find a project under $100,000 that involves multiple subcontractors, thus demanding the fulfillment of a payment bond.</w:t>
          </w:r>
        </w:p>
        <w:p w:rsidR="00DC0A07" w:rsidRPr="0034126C" w:rsidRDefault="00DC0A07" w:rsidP="00DC0A07">
          <w:pPr>
            <w:pStyle w:val="NormalWeb"/>
            <w:spacing w:before="0" w:beforeAutospacing="0" w:after="0" w:afterAutospacing="0"/>
            <w:jc w:val="both"/>
            <w:divId w:val="553540024"/>
          </w:pPr>
          <w:r w:rsidRPr="0034126C">
            <w:t> </w:t>
          </w:r>
        </w:p>
        <w:p w:rsidR="00DC0A07" w:rsidRPr="0034126C" w:rsidRDefault="00DC0A07" w:rsidP="00DC0A07">
          <w:pPr>
            <w:pStyle w:val="NormalWeb"/>
            <w:spacing w:before="0" w:beforeAutospacing="0" w:after="0" w:afterAutospacing="0"/>
            <w:jc w:val="both"/>
            <w:divId w:val="553540024"/>
          </w:pPr>
          <w:r w:rsidRPr="0034126C">
            <w:t>Committee Sub: the original bill mistakenly increased the performance bond threshold rather than the payment bond due to a drafting error. The committee substitute rectifies this error, modifying only the payment threshold and leaving performance bond threshold at current amount of $100,000.</w:t>
          </w:r>
        </w:p>
        <w:p w:rsidR="00DC0A07" w:rsidRPr="00D70925" w:rsidRDefault="00DC0A07" w:rsidP="00DC0A07">
          <w:pPr>
            <w:spacing w:after="0" w:line="240" w:lineRule="auto"/>
            <w:jc w:val="both"/>
            <w:rPr>
              <w:rFonts w:eastAsia="Times New Roman" w:cs="Times New Roman"/>
              <w:bCs/>
              <w:szCs w:val="24"/>
            </w:rPr>
          </w:pPr>
        </w:p>
      </w:sdtContent>
    </w:sdt>
    <w:p w:rsidR="00DC0A07" w:rsidRDefault="00DC0A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1456 </w:t>
      </w:r>
      <w:bookmarkStart w:id="1" w:name="AmendsCurrentLaw"/>
      <w:bookmarkEnd w:id="1"/>
      <w:r>
        <w:rPr>
          <w:rFonts w:cs="Times New Roman"/>
          <w:szCs w:val="24"/>
        </w:rPr>
        <w:t>amends current law relating to the requirement for performance bonds from certain public work contractors.</w:t>
      </w:r>
    </w:p>
    <w:p w:rsidR="00DC0A07" w:rsidRPr="00A10B2F" w:rsidRDefault="00DC0A07" w:rsidP="000F1DF9">
      <w:pPr>
        <w:spacing w:after="0" w:line="240" w:lineRule="auto"/>
        <w:jc w:val="both"/>
        <w:rPr>
          <w:rFonts w:eastAsia="Times New Roman" w:cs="Times New Roman"/>
          <w:szCs w:val="24"/>
        </w:rPr>
      </w:pPr>
    </w:p>
    <w:p w:rsidR="00DC0A07" w:rsidRPr="005C2A78" w:rsidRDefault="00DC0A07" w:rsidP="00C4359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755F191391439C94A4496085A06EBA"/>
          </w:placeholder>
        </w:sdtPr>
        <w:sdtContent>
          <w:r>
            <w:rPr>
              <w:rFonts w:eastAsia="Times New Roman" w:cs="Times New Roman"/>
              <w:b/>
              <w:szCs w:val="24"/>
              <w:u w:val="single"/>
            </w:rPr>
            <w:t>RULEMAKING AUTHORITY</w:t>
          </w:r>
        </w:sdtContent>
      </w:sdt>
    </w:p>
    <w:p w:rsidR="00DC0A07" w:rsidRPr="006529C4" w:rsidRDefault="00DC0A07" w:rsidP="00C43598">
      <w:pPr>
        <w:spacing w:after="0" w:line="240" w:lineRule="auto"/>
        <w:jc w:val="both"/>
        <w:rPr>
          <w:rFonts w:cs="Times New Roman"/>
          <w:szCs w:val="24"/>
        </w:rPr>
      </w:pPr>
    </w:p>
    <w:p w:rsidR="00DC0A07" w:rsidRPr="006529C4" w:rsidRDefault="00DC0A07" w:rsidP="00C4359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0A07" w:rsidRPr="006529C4" w:rsidRDefault="00DC0A07" w:rsidP="00C43598">
      <w:pPr>
        <w:spacing w:after="0" w:line="240" w:lineRule="auto"/>
        <w:jc w:val="both"/>
        <w:rPr>
          <w:rFonts w:cs="Times New Roman"/>
          <w:szCs w:val="24"/>
        </w:rPr>
      </w:pPr>
    </w:p>
    <w:p w:rsidR="00DC0A07" w:rsidRPr="005C2A78" w:rsidRDefault="00DC0A07" w:rsidP="00C4359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0BDD55B9D64640B32765153BB79D65"/>
          </w:placeholder>
        </w:sdtPr>
        <w:sdtContent>
          <w:r>
            <w:rPr>
              <w:rFonts w:eastAsia="Times New Roman" w:cs="Times New Roman"/>
              <w:b/>
              <w:szCs w:val="24"/>
              <w:u w:val="single"/>
            </w:rPr>
            <w:t>SECTION BY SECTION ANALYSIS</w:t>
          </w:r>
        </w:sdtContent>
      </w:sdt>
    </w:p>
    <w:p w:rsidR="00DC0A07" w:rsidRPr="005C2A78" w:rsidRDefault="00DC0A07" w:rsidP="00C43598">
      <w:pPr>
        <w:spacing w:after="0" w:line="240" w:lineRule="auto"/>
        <w:jc w:val="both"/>
        <w:rPr>
          <w:rFonts w:eastAsia="Times New Roman" w:cs="Times New Roman"/>
          <w:szCs w:val="24"/>
        </w:rPr>
      </w:pPr>
    </w:p>
    <w:p w:rsidR="00DC0A07" w:rsidRDefault="00DC0A07" w:rsidP="00C4359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2253.021(a), Government Code, to require a governmental entity that makes a public work contract with a prime contractor to require the contractor, before beginning the work, to execute certain bonds under certain conditions to the governmental entity, including a performance bond if the contract is in excess of $150,000, rather than in excess of $100,000.</w:t>
      </w:r>
    </w:p>
    <w:p w:rsidR="00DC0A07" w:rsidRPr="005C2A78" w:rsidRDefault="00DC0A07" w:rsidP="00C43598">
      <w:pPr>
        <w:spacing w:after="0" w:line="240" w:lineRule="auto"/>
        <w:jc w:val="both"/>
        <w:rPr>
          <w:rFonts w:eastAsia="Times New Roman" w:cs="Times New Roman"/>
          <w:szCs w:val="24"/>
        </w:rPr>
      </w:pPr>
    </w:p>
    <w:p w:rsidR="00DC0A07" w:rsidRPr="00A10B2F" w:rsidRDefault="00DC0A07" w:rsidP="00C43598">
      <w:pPr>
        <w:spacing w:after="0" w:line="240" w:lineRule="auto"/>
        <w:jc w:val="both"/>
      </w:pPr>
      <w:r w:rsidRPr="005C2A78">
        <w:rPr>
          <w:rFonts w:eastAsia="Times New Roman" w:cs="Times New Roman"/>
          <w:szCs w:val="24"/>
        </w:rPr>
        <w:t>SECTION 2.</w:t>
      </w:r>
      <w:r w:rsidRPr="00A10B2F">
        <w:t xml:space="preserve"> </w:t>
      </w:r>
      <w:r>
        <w:t xml:space="preserve">Makes application of this Act to a public work contract for which a governmental entity first advertises or otherwise requests bids, proposals, offers, or qualifications, or makes a similar solicitation, prospective. </w:t>
      </w:r>
    </w:p>
    <w:p w:rsidR="00DC0A07" w:rsidRPr="005C2A78" w:rsidRDefault="00DC0A07" w:rsidP="00C43598">
      <w:pPr>
        <w:spacing w:after="0" w:line="240" w:lineRule="auto"/>
        <w:jc w:val="both"/>
        <w:rPr>
          <w:rFonts w:eastAsia="Times New Roman" w:cs="Times New Roman"/>
          <w:szCs w:val="24"/>
        </w:rPr>
      </w:pPr>
    </w:p>
    <w:p w:rsidR="00DC0A07" w:rsidRPr="00C8671F" w:rsidRDefault="00DC0A07" w:rsidP="00C435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C0A0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F0" w:rsidRDefault="00B32CF0" w:rsidP="000F1DF9">
      <w:pPr>
        <w:spacing w:after="0" w:line="240" w:lineRule="auto"/>
      </w:pPr>
      <w:r>
        <w:separator/>
      </w:r>
    </w:p>
  </w:endnote>
  <w:endnote w:type="continuationSeparator" w:id="0">
    <w:p w:rsidR="00B32CF0" w:rsidRDefault="00B32C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2C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0A0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0A07">
                <w:rPr>
                  <w:sz w:val="20"/>
                  <w:szCs w:val="20"/>
                </w:rPr>
                <w:t>S.B. 1456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0A0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2C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0A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0A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F0" w:rsidRDefault="00B32CF0" w:rsidP="000F1DF9">
      <w:pPr>
        <w:spacing w:after="0" w:line="240" w:lineRule="auto"/>
      </w:pPr>
      <w:r>
        <w:separator/>
      </w:r>
    </w:p>
  </w:footnote>
  <w:footnote w:type="continuationSeparator" w:id="0">
    <w:p w:rsidR="00B32CF0" w:rsidRDefault="00B32C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2CF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0A0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A309A"/>
  <w15:docId w15:val="{656A743E-C385-440E-A2C1-02C6E7DA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0A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0F74" w:rsidP="00CC0F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90D8ED4F2A4894A460B343B8A6C5E3"/>
        <w:category>
          <w:name w:val="General"/>
          <w:gallery w:val="placeholder"/>
        </w:category>
        <w:types>
          <w:type w:val="bbPlcHdr"/>
        </w:types>
        <w:behaviors>
          <w:behavior w:val="content"/>
        </w:behaviors>
        <w:guid w:val="{0E920D3C-EE8A-40BD-8F4A-51FD2064E012}"/>
      </w:docPartPr>
      <w:docPartBody>
        <w:p w:rsidR="00000000" w:rsidRDefault="008C566E"/>
      </w:docPartBody>
    </w:docPart>
    <w:docPart>
      <w:docPartPr>
        <w:name w:val="405F366C352647F9805E3F5FAA61389B"/>
        <w:category>
          <w:name w:val="General"/>
          <w:gallery w:val="placeholder"/>
        </w:category>
        <w:types>
          <w:type w:val="bbPlcHdr"/>
        </w:types>
        <w:behaviors>
          <w:behavior w:val="content"/>
        </w:behaviors>
        <w:guid w:val="{18E1D09E-D635-4166-9C83-8CCF90DB4DE3}"/>
      </w:docPartPr>
      <w:docPartBody>
        <w:p w:rsidR="00000000" w:rsidRDefault="008C566E"/>
      </w:docPartBody>
    </w:docPart>
    <w:docPart>
      <w:docPartPr>
        <w:name w:val="7CD2D03AC5FD425EA9CED18E0815B5B6"/>
        <w:category>
          <w:name w:val="General"/>
          <w:gallery w:val="placeholder"/>
        </w:category>
        <w:types>
          <w:type w:val="bbPlcHdr"/>
        </w:types>
        <w:behaviors>
          <w:behavior w:val="content"/>
        </w:behaviors>
        <w:guid w:val="{C803F32E-84BB-49D4-84E9-54F5D8353ACF}"/>
      </w:docPartPr>
      <w:docPartBody>
        <w:p w:rsidR="00000000" w:rsidRDefault="008C566E"/>
      </w:docPartBody>
    </w:docPart>
    <w:docPart>
      <w:docPartPr>
        <w:name w:val="A7E1B5D64B894C05A90B51CB5A1180A2"/>
        <w:category>
          <w:name w:val="General"/>
          <w:gallery w:val="placeholder"/>
        </w:category>
        <w:types>
          <w:type w:val="bbPlcHdr"/>
        </w:types>
        <w:behaviors>
          <w:behavior w:val="content"/>
        </w:behaviors>
        <w:guid w:val="{C30DF7EE-509E-484E-86FE-21D696AF88CA}"/>
      </w:docPartPr>
      <w:docPartBody>
        <w:p w:rsidR="00000000" w:rsidRDefault="008C566E"/>
      </w:docPartBody>
    </w:docPart>
    <w:docPart>
      <w:docPartPr>
        <w:name w:val="7757638F1409496EAACC623A99A98DCF"/>
        <w:category>
          <w:name w:val="General"/>
          <w:gallery w:val="placeholder"/>
        </w:category>
        <w:types>
          <w:type w:val="bbPlcHdr"/>
        </w:types>
        <w:behaviors>
          <w:behavior w:val="content"/>
        </w:behaviors>
        <w:guid w:val="{686E07B1-DEC3-450A-9C1A-0979DE6DA0BF}"/>
      </w:docPartPr>
      <w:docPartBody>
        <w:p w:rsidR="00000000" w:rsidRDefault="008C566E"/>
      </w:docPartBody>
    </w:docPart>
    <w:docPart>
      <w:docPartPr>
        <w:name w:val="3BEF6C706E3846149EE7A120A3955E2F"/>
        <w:category>
          <w:name w:val="General"/>
          <w:gallery w:val="placeholder"/>
        </w:category>
        <w:types>
          <w:type w:val="bbPlcHdr"/>
        </w:types>
        <w:behaviors>
          <w:behavior w:val="content"/>
        </w:behaviors>
        <w:guid w:val="{1E97A15A-C742-46B0-B477-8B409F1FA692}"/>
      </w:docPartPr>
      <w:docPartBody>
        <w:p w:rsidR="00000000" w:rsidRDefault="008C566E"/>
      </w:docPartBody>
    </w:docPart>
    <w:docPart>
      <w:docPartPr>
        <w:name w:val="3BDD6C0268EC4248A8A8C8F632540963"/>
        <w:category>
          <w:name w:val="General"/>
          <w:gallery w:val="placeholder"/>
        </w:category>
        <w:types>
          <w:type w:val="bbPlcHdr"/>
        </w:types>
        <w:behaviors>
          <w:behavior w:val="content"/>
        </w:behaviors>
        <w:guid w:val="{A5F3A13E-7D54-4391-B140-C64EFBE1A0DF}"/>
      </w:docPartPr>
      <w:docPartBody>
        <w:p w:rsidR="00000000" w:rsidRDefault="008C566E"/>
      </w:docPartBody>
    </w:docPart>
    <w:docPart>
      <w:docPartPr>
        <w:name w:val="6F30D687496F4FAA8FC7ADACED00335E"/>
        <w:category>
          <w:name w:val="General"/>
          <w:gallery w:val="placeholder"/>
        </w:category>
        <w:types>
          <w:type w:val="bbPlcHdr"/>
        </w:types>
        <w:behaviors>
          <w:behavior w:val="content"/>
        </w:behaviors>
        <w:guid w:val="{6D2495E8-3E29-432D-8912-30B320B152F6}"/>
      </w:docPartPr>
      <w:docPartBody>
        <w:p w:rsidR="00000000" w:rsidRDefault="008C566E"/>
      </w:docPartBody>
    </w:docPart>
    <w:docPart>
      <w:docPartPr>
        <w:name w:val="15DE750101EC46A298BDA0E65543AFE6"/>
        <w:category>
          <w:name w:val="General"/>
          <w:gallery w:val="placeholder"/>
        </w:category>
        <w:types>
          <w:type w:val="bbPlcHdr"/>
        </w:types>
        <w:behaviors>
          <w:behavior w:val="content"/>
        </w:behaviors>
        <w:guid w:val="{A5022FEC-C5E2-4621-9247-41B689043269}"/>
      </w:docPartPr>
      <w:docPartBody>
        <w:p w:rsidR="00000000" w:rsidRDefault="00CC0F74" w:rsidP="00CC0F74">
          <w:pPr>
            <w:pStyle w:val="15DE750101EC46A298BDA0E65543AFE6"/>
          </w:pPr>
          <w:r w:rsidRPr="00A30DD1">
            <w:rPr>
              <w:rStyle w:val="PlaceholderText"/>
            </w:rPr>
            <w:t>Click here to enter a date.</w:t>
          </w:r>
        </w:p>
      </w:docPartBody>
    </w:docPart>
    <w:docPart>
      <w:docPartPr>
        <w:name w:val="78A14F3731224AEBA85168E5A58D3738"/>
        <w:category>
          <w:name w:val="General"/>
          <w:gallery w:val="placeholder"/>
        </w:category>
        <w:types>
          <w:type w:val="bbPlcHdr"/>
        </w:types>
        <w:behaviors>
          <w:behavior w:val="content"/>
        </w:behaviors>
        <w:guid w:val="{620C91D4-C213-4C02-BC6A-5062EFFAF6C8}"/>
      </w:docPartPr>
      <w:docPartBody>
        <w:p w:rsidR="00000000" w:rsidRDefault="008C566E"/>
      </w:docPartBody>
    </w:docPart>
    <w:docPart>
      <w:docPartPr>
        <w:name w:val="E4C20685280445F0BED1019CCF0E8639"/>
        <w:category>
          <w:name w:val="General"/>
          <w:gallery w:val="placeholder"/>
        </w:category>
        <w:types>
          <w:type w:val="bbPlcHdr"/>
        </w:types>
        <w:behaviors>
          <w:behavior w:val="content"/>
        </w:behaviors>
        <w:guid w:val="{91EE8F9B-3D9F-49FB-9D07-EB8AE840CCEC}"/>
      </w:docPartPr>
      <w:docPartBody>
        <w:p w:rsidR="00000000" w:rsidRDefault="008C566E"/>
      </w:docPartBody>
    </w:docPart>
    <w:docPart>
      <w:docPartPr>
        <w:name w:val="1B0DEAF72C5A43BA9F0CA310727D7243"/>
        <w:category>
          <w:name w:val="General"/>
          <w:gallery w:val="placeholder"/>
        </w:category>
        <w:types>
          <w:type w:val="bbPlcHdr"/>
        </w:types>
        <w:behaviors>
          <w:behavior w:val="content"/>
        </w:behaviors>
        <w:guid w:val="{AFAA03CA-CA0E-46D0-845D-1B8570A3B8CB}"/>
      </w:docPartPr>
      <w:docPartBody>
        <w:p w:rsidR="00000000" w:rsidRDefault="00CC0F74" w:rsidP="00CC0F74">
          <w:pPr>
            <w:pStyle w:val="1B0DEAF72C5A43BA9F0CA310727D7243"/>
          </w:pPr>
          <w:r>
            <w:rPr>
              <w:rFonts w:eastAsia="Times New Roman" w:cs="Times New Roman"/>
              <w:bCs/>
              <w:szCs w:val="24"/>
            </w:rPr>
            <w:t xml:space="preserve"> </w:t>
          </w:r>
        </w:p>
      </w:docPartBody>
    </w:docPart>
    <w:docPart>
      <w:docPartPr>
        <w:name w:val="1E755F191391439C94A4496085A06EBA"/>
        <w:category>
          <w:name w:val="General"/>
          <w:gallery w:val="placeholder"/>
        </w:category>
        <w:types>
          <w:type w:val="bbPlcHdr"/>
        </w:types>
        <w:behaviors>
          <w:behavior w:val="content"/>
        </w:behaviors>
        <w:guid w:val="{64A9F7C8-E223-483A-9CDA-4015E24D8F00}"/>
      </w:docPartPr>
      <w:docPartBody>
        <w:p w:rsidR="00000000" w:rsidRDefault="008C566E"/>
      </w:docPartBody>
    </w:docPart>
    <w:docPart>
      <w:docPartPr>
        <w:name w:val="600BDD55B9D64640B32765153BB79D65"/>
        <w:category>
          <w:name w:val="General"/>
          <w:gallery w:val="placeholder"/>
        </w:category>
        <w:types>
          <w:type w:val="bbPlcHdr"/>
        </w:types>
        <w:behaviors>
          <w:behavior w:val="content"/>
        </w:behaviors>
        <w:guid w:val="{59EBE5B2-9766-48E3-A987-DB8D5804BD98}"/>
      </w:docPartPr>
      <w:docPartBody>
        <w:p w:rsidR="00000000" w:rsidRDefault="008C5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566E"/>
    <w:rsid w:val="0090598B"/>
    <w:rsid w:val="00984D6C"/>
    <w:rsid w:val="00A54AD6"/>
    <w:rsid w:val="00A57564"/>
    <w:rsid w:val="00B252A4"/>
    <w:rsid w:val="00B5530B"/>
    <w:rsid w:val="00C129E8"/>
    <w:rsid w:val="00C968BA"/>
    <w:rsid w:val="00CC0F7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F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0F74"/>
    <w:rPr>
      <w:rFonts w:ascii="Times New Roman" w:hAnsi="Times New Roman"/>
      <w:sz w:val="24"/>
    </w:rPr>
  </w:style>
  <w:style w:type="paragraph" w:customStyle="1" w:styleId="487D89B4F8B34DB4967D41FE18F7F88D9">
    <w:name w:val="487D89B4F8B34DB4967D41FE18F7F88D9"/>
    <w:rsid w:val="00CC0F74"/>
    <w:rPr>
      <w:rFonts w:ascii="Times New Roman" w:hAnsi="Times New Roman"/>
      <w:sz w:val="24"/>
    </w:rPr>
  </w:style>
  <w:style w:type="paragraph" w:customStyle="1" w:styleId="AE2570ED5D764CD7AF9686706F550F4622">
    <w:name w:val="AE2570ED5D764CD7AF9686706F550F4622"/>
    <w:rsid w:val="00CC0F74"/>
    <w:pPr>
      <w:tabs>
        <w:tab w:val="center" w:pos="4680"/>
        <w:tab w:val="right" w:pos="9360"/>
      </w:tabs>
      <w:spacing w:after="0" w:line="240" w:lineRule="auto"/>
    </w:pPr>
    <w:rPr>
      <w:rFonts w:ascii="Times New Roman" w:hAnsi="Times New Roman"/>
      <w:sz w:val="24"/>
    </w:rPr>
  </w:style>
  <w:style w:type="paragraph" w:customStyle="1" w:styleId="15DE750101EC46A298BDA0E65543AFE6">
    <w:name w:val="15DE750101EC46A298BDA0E65543AFE6"/>
    <w:rsid w:val="00CC0F74"/>
    <w:pPr>
      <w:spacing w:after="160" w:line="259" w:lineRule="auto"/>
    </w:pPr>
  </w:style>
  <w:style w:type="paragraph" w:customStyle="1" w:styleId="1B0DEAF72C5A43BA9F0CA310727D7243">
    <w:name w:val="1B0DEAF72C5A43BA9F0CA310727D7243"/>
    <w:rsid w:val="00CC0F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04BF1B-0D71-481A-8E24-6C37F4FA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445</Words>
  <Characters>2540</Characters>
  <Application>Microsoft Office Word</Application>
  <DocSecurity>0</DocSecurity>
  <Lines>21</Lines>
  <Paragraphs>5</Paragraphs>
  <ScaleCrop>false</ScaleCrop>
  <Company>Texas Legislative Council</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2019-04-22T22:01:00Z</cp:lastPrinted>
  <dcterms:created xsi:type="dcterms:W3CDTF">2015-05-29T14:24:00Z</dcterms:created>
  <dcterms:modified xsi:type="dcterms:W3CDTF">2019-04-22T22:01:00Z</dcterms:modified>
</cp:coreProperties>
</file>

<file path=docProps/custom.xml><?xml version="1.0" encoding="utf-8"?>
<op:Properties xmlns:vt="http://schemas.openxmlformats.org/officeDocument/2006/docPropsVTypes" xmlns:op="http://schemas.openxmlformats.org/officeDocument/2006/custom-properties"/>
</file>