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40BAD" w:rsidTr="00345119">
        <w:tc>
          <w:tcPr>
            <w:tcW w:w="9576" w:type="dxa"/>
            <w:noWrap/>
          </w:tcPr>
          <w:p w:rsidR="008423E4" w:rsidRPr="0022177D" w:rsidRDefault="00053E01" w:rsidP="00345119">
            <w:pPr>
              <w:pStyle w:val="Heading1"/>
            </w:pPr>
            <w:bookmarkStart w:id="0" w:name="_GoBack"/>
            <w:bookmarkEnd w:id="0"/>
            <w:r w:rsidRPr="00631897">
              <w:t>BILL ANALYSIS</w:t>
            </w:r>
          </w:p>
        </w:tc>
      </w:tr>
    </w:tbl>
    <w:p w:rsidR="008423E4" w:rsidRPr="0022177D" w:rsidRDefault="00053E01" w:rsidP="008423E4">
      <w:pPr>
        <w:jc w:val="center"/>
      </w:pPr>
    </w:p>
    <w:p w:rsidR="008423E4" w:rsidRPr="00B31F0E" w:rsidRDefault="00053E01" w:rsidP="008423E4"/>
    <w:p w:rsidR="008423E4" w:rsidRPr="00742794" w:rsidRDefault="00053E01" w:rsidP="008423E4">
      <w:pPr>
        <w:tabs>
          <w:tab w:val="right" w:pos="9360"/>
        </w:tabs>
      </w:pPr>
    </w:p>
    <w:tbl>
      <w:tblPr>
        <w:tblW w:w="0" w:type="auto"/>
        <w:tblLayout w:type="fixed"/>
        <w:tblLook w:val="01E0" w:firstRow="1" w:lastRow="1" w:firstColumn="1" w:lastColumn="1" w:noHBand="0" w:noVBand="0"/>
      </w:tblPr>
      <w:tblGrid>
        <w:gridCol w:w="9576"/>
      </w:tblGrid>
      <w:tr w:rsidR="00040BAD" w:rsidTr="00345119">
        <w:tc>
          <w:tcPr>
            <w:tcW w:w="9576" w:type="dxa"/>
          </w:tcPr>
          <w:p w:rsidR="008423E4" w:rsidRPr="00861995" w:rsidRDefault="00053E01" w:rsidP="00345119">
            <w:pPr>
              <w:jc w:val="right"/>
            </w:pPr>
            <w:r>
              <w:t>S.B. 1474</w:t>
            </w:r>
          </w:p>
        </w:tc>
      </w:tr>
      <w:tr w:rsidR="00040BAD" w:rsidTr="00345119">
        <w:tc>
          <w:tcPr>
            <w:tcW w:w="9576" w:type="dxa"/>
          </w:tcPr>
          <w:p w:rsidR="008423E4" w:rsidRPr="00861995" w:rsidRDefault="00053E01" w:rsidP="00AF5AD2">
            <w:pPr>
              <w:jc w:val="right"/>
            </w:pPr>
            <w:r>
              <w:t xml:space="preserve">By: </w:t>
            </w:r>
            <w:r>
              <w:t>Lucio</w:t>
            </w:r>
          </w:p>
        </w:tc>
      </w:tr>
      <w:tr w:rsidR="00040BAD" w:rsidTr="00345119">
        <w:tc>
          <w:tcPr>
            <w:tcW w:w="9576" w:type="dxa"/>
          </w:tcPr>
          <w:p w:rsidR="008423E4" w:rsidRPr="00861995" w:rsidRDefault="00053E01" w:rsidP="00345119">
            <w:pPr>
              <w:jc w:val="right"/>
            </w:pPr>
            <w:r>
              <w:t>Pensions, Investments &amp; Financial Services</w:t>
            </w:r>
          </w:p>
        </w:tc>
      </w:tr>
      <w:tr w:rsidR="00040BAD" w:rsidTr="00345119">
        <w:tc>
          <w:tcPr>
            <w:tcW w:w="9576" w:type="dxa"/>
          </w:tcPr>
          <w:p w:rsidR="008423E4" w:rsidRDefault="00053E01" w:rsidP="00345119">
            <w:pPr>
              <w:jc w:val="right"/>
            </w:pPr>
            <w:r>
              <w:t>Committee Report (Unamended)</w:t>
            </w:r>
          </w:p>
        </w:tc>
      </w:tr>
    </w:tbl>
    <w:p w:rsidR="008423E4" w:rsidRDefault="00053E01" w:rsidP="008423E4">
      <w:pPr>
        <w:tabs>
          <w:tab w:val="right" w:pos="9360"/>
        </w:tabs>
      </w:pPr>
    </w:p>
    <w:p w:rsidR="008423E4" w:rsidRDefault="00053E01" w:rsidP="008423E4"/>
    <w:p w:rsidR="008423E4" w:rsidRDefault="00053E01" w:rsidP="008423E4"/>
    <w:tbl>
      <w:tblPr>
        <w:tblW w:w="0" w:type="auto"/>
        <w:tblCellMar>
          <w:left w:w="115" w:type="dxa"/>
          <w:right w:w="115" w:type="dxa"/>
        </w:tblCellMar>
        <w:tblLook w:val="01E0" w:firstRow="1" w:lastRow="1" w:firstColumn="1" w:lastColumn="1" w:noHBand="0" w:noVBand="0"/>
      </w:tblPr>
      <w:tblGrid>
        <w:gridCol w:w="9576"/>
      </w:tblGrid>
      <w:tr w:rsidR="00040BAD" w:rsidTr="00345119">
        <w:tc>
          <w:tcPr>
            <w:tcW w:w="9576" w:type="dxa"/>
          </w:tcPr>
          <w:p w:rsidR="008423E4" w:rsidRPr="00A8133F" w:rsidRDefault="00053E01" w:rsidP="00776CE9">
            <w:pPr>
              <w:rPr>
                <w:b/>
              </w:rPr>
            </w:pPr>
            <w:r w:rsidRPr="009C1E9A">
              <w:rPr>
                <w:b/>
                <w:u w:val="single"/>
              </w:rPr>
              <w:t>BACKGROUND AND PURPOSE</w:t>
            </w:r>
            <w:r>
              <w:rPr>
                <w:b/>
              </w:rPr>
              <w:t xml:space="preserve"> </w:t>
            </w:r>
          </w:p>
          <w:p w:rsidR="008423E4" w:rsidRDefault="00053E01" w:rsidP="00776CE9"/>
          <w:p w:rsidR="008423E4" w:rsidRDefault="00053E01" w:rsidP="00776CE9">
            <w:pPr>
              <w:pStyle w:val="Header"/>
              <w:tabs>
                <w:tab w:val="clear" w:pos="4320"/>
                <w:tab w:val="clear" w:pos="8640"/>
              </w:tabs>
              <w:jc w:val="both"/>
            </w:pPr>
            <w:r>
              <w:t xml:space="preserve">There have been calls to revise and update certain statutory provisions relating to private activity bonds. </w:t>
            </w:r>
            <w:r>
              <w:t xml:space="preserve">It has </w:t>
            </w:r>
            <w:r>
              <w:t xml:space="preserve">also </w:t>
            </w:r>
            <w:r>
              <w:t>been noted that</w:t>
            </w:r>
            <w:r>
              <w:t>,</w:t>
            </w:r>
            <w:r>
              <w:t xml:space="preserve"> in the context of rising levels of student loan debt, opportunities to refinance such loans </w:t>
            </w:r>
            <w:r>
              <w:t>are an important means</w:t>
            </w:r>
            <w:r>
              <w:t xml:space="preserve"> </w:t>
            </w:r>
            <w:r>
              <w:t>of</w:t>
            </w:r>
            <w:r>
              <w:t xml:space="preserve"> reducing the burden on borrowers and may be provided at no cost to the state. </w:t>
            </w:r>
            <w:r>
              <w:t>S.B. 1474</w:t>
            </w:r>
            <w:r>
              <w:t xml:space="preserve"> seeks to </w:t>
            </w:r>
            <w:r>
              <w:t xml:space="preserve">provide the </w:t>
            </w:r>
            <w:r>
              <w:t xml:space="preserve">necessary revisions regarding bond issuance and to </w:t>
            </w:r>
            <w:r>
              <w:t xml:space="preserve">ensure that qualified alternative education </w:t>
            </w:r>
            <w:r>
              <w:t xml:space="preserve">loan </w:t>
            </w:r>
            <w:r>
              <w:t xml:space="preserve">lenders </w:t>
            </w:r>
            <w:r>
              <w:t>are able to</w:t>
            </w:r>
            <w:r>
              <w:t xml:space="preserve"> </w:t>
            </w:r>
            <w:r>
              <w:t>offer</w:t>
            </w:r>
            <w:r>
              <w:t xml:space="preserve"> education loan</w:t>
            </w:r>
            <w:r>
              <w:t xml:space="preserve"> refinancing</w:t>
            </w:r>
            <w:r>
              <w:t>.</w:t>
            </w:r>
          </w:p>
          <w:p w:rsidR="008423E4" w:rsidRPr="00E26B13" w:rsidRDefault="00053E01" w:rsidP="00776CE9">
            <w:pPr>
              <w:rPr>
                <w:b/>
              </w:rPr>
            </w:pPr>
          </w:p>
        </w:tc>
      </w:tr>
      <w:tr w:rsidR="00040BAD" w:rsidTr="00345119">
        <w:tc>
          <w:tcPr>
            <w:tcW w:w="9576" w:type="dxa"/>
          </w:tcPr>
          <w:p w:rsidR="0017725B" w:rsidRDefault="00053E01" w:rsidP="00776CE9">
            <w:pPr>
              <w:rPr>
                <w:b/>
                <w:u w:val="single"/>
              </w:rPr>
            </w:pPr>
            <w:r>
              <w:rPr>
                <w:b/>
                <w:u w:val="single"/>
              </w:rPr>
              <w:t>CRIMINAL JUSTICE IMPACT</w:t>
            </w:r>
          </w:p>
          <w:p w:rsidR="0017725B" w:rsidRDefault="00053E01" w:rsidP="00776CE9">
            <w:pPr>
              <w:rPr>
                <w:b/>
                <w:u w:val="single"/>
              </w:rPr>
            </w:pPr>
          </w:p>
          <w:p w:rsidR="006A4603" w:rsidRPr="006A4603" w:rsidRDefault="00053E01" w:rsidP="00776CE9">
            <w:pPr>
              <w:jc w:val="both"/>
            </w:pPr>
            <w:r>
              <w:t>It is the committee's opinion that this bill does not expressly create a cr</w:t>
            </w:r>
            <w:r>
              <w:t>iminal offense, increase the punishment for an existing criminal offense or category of offenses, or change the eligibility of a person for community supervision, parole, or mandatory supervision.</w:t>
            </w:r>
          </w:p>
          <w:p w:rsidR="0017725B" w:rsidRPr="0017725B" w:rsidRDefault="00053E01" w:rsidP="00776CE9">
            <w:pPr>
              <w:rPr>
                <w:b/>
                <w:u w:val="single"/>
              </w:rPr>
            </w:pPr>
          </w:p>
        </w:tc>
      </w:tr>
      <w:tr w:rsidR="00040BAD" w:rsidTr="00345119">
        <w:tc>
          <w:tcPr>
            <w:tcW w:w="9576" w:type="dxa"/>
          </w:tcPr>
          <w:p w:rsidR="008423E4" w:rsidRPr="00A8133F" w:rsidRDefault="00053E01" w:rsidP="00776CE9">
            <w:pPr>
              <w:rPr>
                <w:b/>
              </w:rPr>
            </w:pPr>
            <w:r w:rsidRPr="009C1E9A">
              <w:rPr>
                <w:b/>
                <w:u w:val="single"/>
              </w:rPr>
              <w:t>RULEMAKING AUTHORITY</w:t>
            </w:r>
            <w:r>
              <w:rPr>
                <w:b/>
              </w:rPr>
              <w:t xml:space="preserve"> </w:t>
            </w:r>
          </w:p>
          <w:p w:rsidR="008423E4" w:rsidRDefault="00053E01" w:rsidP="00776CE9"/>
          <w:p w:rsidR="006A4603" w:rsidRDefault="00053E01" w:rsidP="00776CE9">
            <w:pPr>
              <w:pStyle w:val="Header"/>
              <w:tabs>
                <w:tab w:val="clear" w:pos="4320"/>
                <w:tab w:val="clear" w:pos="8640"/>
              </w:tabs>
              <w:jc w:val="both"/>
            </w:pPr>
            <w:r>
              <w:t>It is the committee's opinion that</w:t>
            </w:r>
            <w:r>
              <w:t xml:space="preserve"> this bill does not expressly grant any additional rulemaking authority to a state officer, department, agency, or institution.</w:t>
            </w:r>
          </w:p>
          <w:p w:rsidR="008423E4" w:rsidRPr="00E21FDC" w:rsidRDefault="00053E01" w:rsidP="00776CE9">
            <w:pPr>
              <w:rPr>
                <w:b/>
              </w:rPr>
            </w:pPr>
          </w:p>
        </w:tc>
      </w:tr>
      <w:tr w:rsidR="00040BAD" w:rsidTr="00345119">
        <w:tc>
          <w:tcPr>
            <w:tcW w:w="9576" w:type="dxa"/>
          </w:tcPr>
          <w:p w:rsidR="008423E4" w:rsidRPr="00A8133F" w:rsidRDefault="00053E01" w:rsidP="00776CE9">
            <w:pPr>
              <w:contextualSpacing/>
              <w:rPr>
                <w:b/>
              </w:rPr>
            </w:pPr>
            <w:r w:rsidRPr="009C1E9A">
              <w:rPr>
                <w:b/>
                <w:u w:val="single"/>
              </w:rPr>
              <w:t>ANALYSIS</w:t>
            </w:r>
            <w:r>
              <w:rPr>
                <w:b/>
              </w:rPr>
              <w:t xml:space="preserve"> </w:t>
            </w:r>
          </w:p>
          <w:p w:rsidR="008423E4" w:rsidRDefault="00053E01" w:rsidP="00776CE9">
            <w:pPr>
              <w:contextualSpacing/>
            </w:pPr>
          </w:p>
          <w:p w:rsidR="00C744C8" w:rsidRDefault="00053E01" w:rsidP="00776CE9">
            <w:pPr>
              <w:pStyle w:val="Header"/>
              <w:tabs>
                <w:tab w:val="clear" w:pos="4320"/>
                <w:tab w:val="clear" w:pos="8640"/>
              </w:tabs>
              <w:contextualSpacing/>
              <w:jc w:val="both"/>
            </w:pPr>
            <w:r>
              <w:t xml:space="preserve">S.B. 1474 amends the Education Code to specify that an alternative education loan is made to </w:t>
            </w:r>
            <w:r w:rsidRPr="0040778F">
              <w:t xml:space="preserve">a student, a former </w:t>
            </w:r>
            <w:r w:rsidRPr="0040778F">
              <w:t>student, or any other person</w:t>
            </w:r>
            <w:r>
              <w:t xml:space="preserve">; may be for the benefit of a former student; and may be made for the purpose of refinancing all of or part of a student's or former student's </w:t>
            </w:r>
            <w:r w:rsidRPr="0040778F">
              <w:t>cost of attendance at an accredited institution.</w:t>
            </w:r>
            <w:r>
              <w:t xml:space="preserve"> The bill includes within the meaning</w:t>
            </w:r>
            <w:r>
              <w:t xml:space="preserve"> of "alternative education loan" </w:t>
            </w:r>
            <w:r w:rsidRPr="0040778F">
              <w:t xml:space="preserve">indebtedness that meets the definition of a qualified education loan under </w:t>
            </w:r>
            <w:r>
              <w:t xml:space="preserve">certain provisions of the federal Internal Revenue Code of 1986 and </w:t>
            </w:r>
            <w:r w:rsidRPr="0040778F">
              <w:t xml:space="preserve">indebtedness used to refinance </w:t>
            </w:r>
            <w:r>
              <w:t xml:space="preserve">such </w:t>
            </w:r>
            <w:r w:rsidRPr="0040778F">
              <w:t>indebtedness</w:t>
            </w:r>
            <w:r>
              <w:t>. The bill revises the cap on th</w:t>
            </w:r>
            <w:r>
              <w:t>e amount of an alternative education loan to the amount permitted under certain provisions of the federal Internal Revenue Code of 1986.</w:t>
            </w:r>
          </w:p>
          <w:p w:rsidR="00C744C8" w:rsidRDefault="00053E01" w:rsidP="00776CE9">
            <w:pPr>
              <w:pStyle w:val="Header"/>
              <w:tabs>
                <w:tab w:val="clear" w:pos="4320"/>
                <w:tab w:val="clear" w:pos="8640"/>
              </w:tabs>
              <w:contextualSpacing/>
              <w:jc w:val="both"/>
            </w:pPr>
          </w:p>
          <w:p w:rsidR="002867FB" w:rsidRDefault="00053E01" w:rsidP="00776CE9">
            <w:pPr>
              <w:pStyle w:val="Header"/>
              <w:tabs>
                <w:tab w:val="clear" w:pos="4320"/>
                <w:tab w:val="clear" w:pos="8640"/>
              </w:tabs>
              <w:contextualSpacing/>
              <w:jc w:val="both"/>
            </w:pPr>
            <w:r>
              <w:t xml:space="preserve">S.B. 1474 amends the Government Code </w:t>
            </w:r>
            <w:r w:rsidRPr="008F54EC">
              <w:t xml:space="preserve">to revise </w:t>
            </w:r>
            <w:r>
              <w:t xml:space="preserve">certain </w:t>
            </w:r>
            <w:r w:rsidRPr="008F54EC">
              <w:t>statutory provisions relating to specific authority for state a</w:t>
            </w:r>
            <w:r w:rsidRPr="008F54EC">
              <w:t>nd local government to issue private activity bonds and certain other bonds</w:t>
            </w:r>
            <w:r>
              <w:t xml:space="preserve">. The bill excludes from the definition of "additional state ceiling" for purposes of those provisions the </w:t>
            </w:r>
            <w:r w:rsidRPr="00E10C94">
              <w:t xml:space="preserve">additional tax-exempt private activity bonds authorized by </w:t>
            </w:r>
            <w:r>
              <w:t>certain provisi</w:t>
            </w:r>
            <w:r>
              <w:t>ons</w:t>
            </w:r>
            <w:r w:rsidRPr="00E10C94">
              <w:t xml:space="preserve"> of the </w:t>
            </w:r>
            <w:r>
              <w:t xml:space="preserve">federal </w:t>
            </w:r>
            <w:r w:rsidRPr="00E10C94">
              <w:t>Housing and Economic Recovery Act of 2008</w:t>
            </w:r>
            <w:r>
              <w:t>. The bill revises the percentages of the state ceiling available for reservations by certain types of issuers before August 15 of each year, if the state ceiling is computed on the basis of $75 p</w:t>
            </w:r>
            <w:r>
              <w:t>er capita or a greater amount, by removing the designation of a percentage available exclusively for reservations by issuers of qualified student loan bonds that are nonprofit corporations able to issue a qualified scholarship funding bond, as defined by c</w:t>
            </w:r>
            <w:r>
              <w:t xml:space="preserve">ertain provisions of the </w:t>
            </w:r>
            <w:r>
              <w:t xml:space="preserve">federal </w:t>
            </w:r>
            <w:r>
              <w:t>Internal Revenue Code</w:t>
            </w:r>
            <w:r>
              <w:t xml:space="preserve"> of 1986</w:t>
            </w:r>
            <w:r>
              <w:t>, and redistributing that share of the state ceiling among issuers of qualified mortgage bonds, issuers of state-voted issues, and issuers of qualified residential rental project bonds.</w:t>
            </w:r>
          </w:p>
          <w:p w:rsidR="002867FB" w:rsidRDefault="00053E01" w:rsidP="00776CE9">
            <w:pPr>
              <w:pStyle w:val="Header"/>
              <w:tabs>
                <w:tab w:val="clear" w:pos="4320"/>
                <w:tab w:val="clear" w:pos="8640"/>
              </w:tabs>
              <w:contextualSpacing/>
              <w:jc w:val="both"/>
            </w:pPr>
          </w:p>
          <w:p w:rsidR="002867FB" w:rsidRDefault="00053E01" w:rsidP="00776CE9">
            <w:pPr>
              <w:pStyle w:val="Header"/>
              <w:tabs>
                <w:tab w:val="clear" w:pos="4320"/>
                <w:tab w:val="clear" w:pos="8640"/>
              </w:tabs>
              <w:contextualSpacing/>
              <w:jc w:val="both"/>
            </w:pPr>
            <w:r>
              <w:t>S.B. 14</w:t>
            </w:r>
            <w:r>
              <w:t xml:space="preserve">74 increases from eight percent to 10 percent the percentage of the available state ceiling by which the portion of that ceiling </w:t>
            </w:r>
            <w:r w:rsidRPr="00FF5B7B">
              <w:t xml:space="preserve">available exclusively before August 15 to </w:t>
            </w:r>
            <w:r>
              <w:t>issuers of state</w:t>
            </w:r>
            <w:r>
              <w:noBreakHyphen/>
            </w:r>
            <w:r>
              <w:t>voted issues may be increased on January 2 and the portion available</w:t>
            </w:r>
            <w:r>
              <w:t xml:space="preserve"> to other issuers correspondingly reduced, if applications received for reservations for state-voted issues before January 2 exceed the 10 percent of the state ceiling set aside for those reservations.</w:t>
            </w:r>
          </w:p>
          <w:p w:rsidR="002867FB" w:rsidRDefault="00053E01" w:rsidP="00776CE9">
            <w:pPr>
              <w:pStyle w:val="Header"/>
              <w:tabs>
                <w:tab w:val="clear" w:pos="4320"/>
                <w:tab w:val="clear" w:pos="8640"/>
              </w:tabs>
              <w:contextualSpacing/>
              <w:jc w:val="both"/>
            </w:pPr>
          </w:p>
          <w:p w:rsidR="002867FB" w:rsidRDefault="00053E01" w:rsidP="00776CE9">
            <w:pPr>
              <w:pStyle w:val="Header"/>
              <w:tabs>
                <w:tab w:val="clear" w:pos="4320"/>
                <w:tab w:val="clear" w:pos="8640"/>
              </w:tabs>
              <w:contextualSpacing/>
              <w:jc w:val="both"/>
            </w:pPr>
            <w:r>
              <w:t>S.B. 1474 sets out a schedule of revised caps applica</w:t>
            </w:r>
            <w:r>
              <w:t>ble to the amount of a reservation the Bond Review Board may grant before August 15 for any single project for the year in which the application is made. The bill extends the deadlines for issuers to close on bonds for which a reservation was granted as fo</w:t>
            </w:r>
            <w:r>
              <w:t xml:space="preserve">llows: </w:t>
            </w:r>
          </w:p>
          <w:p w:rsidR="002867FB" w:rsidRDefault="00053E01" w:rsidP="00776CE9">
            <w:pPr>
              <w:pStyle w:val="Header"/>
              <w:numPr>
                <w:ilvl w:val="0"/>
                <w:numId w:val="4"/>
              </w:numPr>
              <w:tabs>
                <w:tab w:val="clear" w:pos="4320"/>
                <w:tab w:val="clear" w:pos="8640"/>
              </w:tabs>
              <w:spacing w:before="120" w:after="120"/>
              <w:jc w:val="both"/>
            </w:pPr>
            <w:r>
              <w:t>for an issuer of qualified residential rental project bonds, from the 150th day after the reservation date to the 180th day after that date;</w:t>
            </w:r>
          </w:p>
          <w:p w:rsidR="002867FB" w:rsidRDefault="00053E01" w:rsidP="00776CE9">
            <w:pPr>
              <w:pStyle w:val="Header"/>
              <w:numPr>
                <w:ilvl w:val="0"/>
                <w:numId w:val="4"/>
              </w:numPr>
              <w:tabs>
                <w:tab w:val="clear" w:pos="4320"/>
                <w:tab w:val="clear" w:pos="8640"/>
              </w:tabs>
              <w:spacing w:before="120" w:after="120"/>
              <w:jc w:val="both"/>
            </w:pPr>
            <w:r>
              <w:t xml:space="preserve">for an issuer of </w:t>
            </w:r>
            <w:r w:rsidRPr="00DE772E">
              <w:t>state-voted issues, a qualified nonprofit corporation issuer of qualified student loan bon</w:t>
            </w:r>
            <w:r w:rsidRPr="00DE772E">
              <w:t>ds, or an issuer of qualified mortgage revenue bonds</w:t>
            </w:r>
            <w:r>
              <w:t>, from the 180th day after the reservation date to the 210th day after that date;</w:t>
            </w:r>
            <w:r>
              <w:t xml:space="preserve"> and</w:t>
            </w:r>
          </w:p>
          <w:p w:rsidR="002867FB" w:rsidRDefault="00053E01" w:rsidP="00776CE9">
            <w:pPr>
              <w:pStyle w:val="Header"/>
              <w:numPr>
                <w:ilvl w:val="0"/>
                <w:numId w:val="4"/>
              </w:numPr>
              <w:tabs>
                <w:tab w:val="clear" w:pos="4320"/>
                <w:tab w:val="clear" w:pos="8640"/>
              </w:tabs>
              <w:spacing w:before="120" w:after="120"/>
              <w:jc w:val="both"/>
            </w:pPr>
            <w:r>
              <w:t>for any other issuer, from the 120th day after the reservation date to the 150th day after that date.</w:t>
            </w:r>
          </w:p>
          <w:p w:rsidR="00355450" w:rsidRDefault="00053E01" w:rsidP="00776CE9">
            <w:pPr>
              <w:pStyle w:val="Header"/>
              <w:tabs>
                <w:tab w:val="clear" w:pos="4320"/>
                <w:tab w:val="clear" w:pos="8640"/>
              </w:tabs>
              <w:contextualSpacing/>
              <w:jc w:val="both"/>
            </w:pPr>
          </w:p>
          <w:p w:rsidR="002867FB" w:rsidRDefault="00053E01" w:rsidP="00776CE9">
            <w:pPr>
              <w:pStyle w:val="Header"/>
              <w:tabs>
                <w:tab w:val="clear" w:pos="4320"/>
                <w:tab w:val="clear" w:pos="8640"/>
              </w:tabs>
              <w:contextualSpacing/>
              <w:jc w:val="both"/>
            </w:pPr>
            <w:r>
              <w:t>S.B. 1474 chang</w:t>
            </w:r>
            <w:r>
              <w:t>es the maximum amount of a carryforward designation for which an issuer may apply from $50 million to the greater of $50 million or 1.70 percent of the available state ceiling and requires a granted carryforward designation to comply with the federal Inter</w:t>
            </w:r>
            <w:r>
              <w:t xml:space="preserve">nal Revenue Code of 1986. </w:t>
            </w:r>
          </w:p>
          <w:p w:rsidR="002867FB" w:rsidRDefault="00053E01" w:rsidP="00776CE9">
            <w:pPr>
              <w:pStyle w:val="Header"/>
              <w:tabs>
                <w:tab w:val="clear" w:pos="4320"/>
                <w:tab w:val="clear" w:pos="8640"/>
              </w:tabs>
              <w:contextualSpacing/>
              <w:jc w:val="both"/>
            </w:pPr>
          </w:p>
          <w:p w:rsidR="002867FB" w:rsidRDefault="00053E01" w:rsidP="00776CE9">
            <w:pPr>
              <w:pStyle w:val="Header"/>
              <w:tabs>
                <w:tab w:val="clear" w:pos="4320"/>
                <w:tab w:val="clear" w:pos="8640"/>
              </w:tabs>
              <w:contextualSpacing/>
              <w:jc w:val="both"/>
            </w:pPr>
            <w:r>
              <w:t xml:space="preserve">S.B. 1474 expands the entities to which the board on the last business day of the year may assign as carryforward any state ceiling that is not reserved or designated as carryforward and for which no carryforward application is </w:t>
            </w:r>
            <w:r>
              <w:t>pending to include an issuer that was created to act on behalf of the state. The bill authorizes an issuer, after one year from the initial carryforward designation, to elect to reassign all or part of the carryforward designation to a new project if the i</w:t>
            </w:r>
            <w:r>
              <w:t xml:space="preserve">ssuer provides certain specified documentation, applicable fees, and any other information required by the board. The bill requires a new project that is reassigned a carryforward designation under this provision to close within the time period allowed by </w:t>
            </w:r>
            <w:r>
              <w:t>the federal Internal Revenue Code of 1986. The bill authorizes an unutilized carryforward designation available after a project closes on a carryforward designation to be used by the issuer for other projects, subject to certain conditions.</w:t>
            </w:r>
          </w:p>
          <w:p w:rsidR="002867FB" w:rsidRDefault="00053E01" w:rsidP="00776CE9">
            <w:pPr>
              <w:pStyle w:val="Header"/>
              <w:tabs>
                <w:tab w:val="clear" w:pos="4320"/>
                <w:tab w:val="clear" w:pos="8640"/>
              </w:tabs>
              <w:contextualSpacing/>
              <w:jc w:val="both"/>
            </w:pPr>
          </w:p>
          <w:p w:rsidR="002867FB" w:rsidRDefault="00053E01" w:rsidP="00776CE9">
            <w:pPr>
              <w:pStyle w:val="Header"/>
              <w:tabs>
                <w:tab w:val="clear" w:pos="4320"/>
                <w:tab w:val="clear" w:pos="8640"/>
              </w:tabs>
              <w:contextualSpacing/>
              <w:jc w:val="both"/>
            </w:pPr>
            <w:r>
              <w:t>S.B. 1474</w:t>
            </w:r>
            <w:r>
              <w:t xml:space="preserve"> revises the definition of "project," for purposes of the authority of the state or a local government to issue</w:t>
            </w:r>
            <w:r w:rsidRPr="003D0E86">
              <w:t xml:space="preserve"> private activity bonds and certain other bonds</w:t>
            </w:r>
            <w:r>
              <w:t>,</w:t>
            </w:r>
            <w:r w:rsidRPr="003D0E86">
              <w:t xml:space="preserve"> </w:t>
            </w:r>
            <w:r>
              <w:t>to include the following in connection with an issue of qualified student loan bonds:</w:t>
            </w:r>
          </w:p>
          <w:p w:rsidR="002867FB" w:rsidRDefault="00053E01" w:rsidP="00776CE9">
            <w:pPr>
              <w:pStyle w:val="Header"/>
              <w:numPr>
                <w:ilvl w:val="0"/>
                <w:numId w:val="5"/>
              </w:numPr>
              <w:tabs>
                <w:tab w:val="clear" w:pos="4320"/>
                <w:tab w:val="clear" w:pos="8640"/>
              </w:tabs>
              <w:spacing w:before="120" w:after="120"/>
              <w:jc w:val="both"/>
            </w:pPr>
            <w:r>
              <w:t>the provis</w:t>
            </w:r>
            <w:r>
              <w:t>ion of financial assistance to students, if the issuer is the Texas Higher Education Coordinating Board; and</w:t>
            </w:r>
          </w:p>
          <w:p w:rsidR="002867FB" w:rsidRDefault="00053E01" w:rsidP="00776CE9">
            <w:pPr>
              <w:pStyle w:val="Header"/>
              <w:numPr>
                <w:ilvl w:val="0"/>
                <w:numId w:val="5"/>
              </w:numPr>
              <w:tabs>
                <w:tab w:val="clear" w:pos="4320"/>
                <w:tab w:val="clear" w:pos="8640"/>
              </w:tabs>
              <w:spacing w:before="120" w:after="120"/>
              <w:jc w:val="both"/>
            </w:pPr>
            <w:r>
              <w:t>the provision of eligible guaranteed student loans or alternative education loans, if the issuer is an entity authorized by state law to issue bond</w:t>
            </w:r>
            <w:r>
              <w:t xml:space="preserve">s for that purpose. </w:t>
            </w:r>
          </w:p>
          <w:p w:rsidR="007468DD" w:rsidRDefault="00053E01" w:rsidP="00776CE9">
            <w:pPr>
              <w:pStyle w:val="Header"/>
              <w:tabs>
                <w:tab w:val="clear" w:pos="4320"/>
                <w:tab w:val="clear" w:pos="8640"/>
              </w:tabs>
              <w:contextualSpacing/>
              <w:jc w:val="both"/>
            </w:pPr>
            <w:r>
              <w:t xml:space="preserve">The bill removes language including as such a project the providing of financial assistance to students located in all or any part of the jurisdiction of the issuer. </w:t>
            </w:r>
          </w:p>
          <w:p w:rsidR="007468DD" w:rsidRDefault="00053E01" w:rsidP="00776CE9">
            <w:pPr>
              <w:pStyle w:val="Header"/>
              <w:tabs>
                <w:tab w:val="clear" w:pos="4320"/>
                <w:tab w:val="clear" w:pos="8640"/>
              </w:tabs>
              <w:contextualSpacing/>
              <w:jc w:val="both"/>
            </w:pPr>
          </w:p>
          <w:p w:rsidR="002867FB" w:rsidRDefault="00053E01" w:rsidP="00776CE9">
            <w:pPr>
              <w:pStyle w:val="Header"/>
              <w:tabs>
                <w:tab w:val="clear" w:pos="4320"/>
                <w:tab w:val="clear" w:pos="8640"/>
              </w:tabs>
              <w:contextualSpacing/>
              <w:jc w:val="both"/>
            </w:pPr>
            <w:r>
              <w:t>S.B. 1474 revises certain specifications relating to information th</w:t>
            </w:r>
            <w:r>
              <w:t>e</w:t>
            </w:r>
            <w:r>
              <w:t xml:space="preserve"> Bond Review</w:t>
            </w:r>
            <w:r>
              <w:t xml:space="preserve"> </w:t>
            </w:r>
            <w:r>
              <w:t>B</w:t>
            </w:r>
            <w:r>
              <w:t>oard may require an issuer of qualified student loan bonds to provide with the issuer's application for a reservation. The bill specifies that the annual entitlement to a student loan bond allocation of each qualified nonprofit corporation t</w:t>
            </w:r>
            <w:r>
              <w:t>hat applies for such an allocation is prioritized in the order that the application was received by the board</w:t>
            </w:r>
            <w:r>
              <w:t xml:space="preserve"> for that year</w:t>
            </w:r>
            <w:r>
              <w:t>, subject to compliance with applicable requirements.</w:t>
            </w:r>
          </w:p>
          <w:p w:rsidR="002E60A6" w:rsidRDefault="00053E01" w:rsidP="00776CE9">
            <w:pPr>
              <w:pStyle w:val="Header"/>
              <w:tabs>
                <w:tab w:val="clear" w:pos="4320"/>
                <w:tab w:val="clear" w:pos="8640"/>
              </w:tabs>
              <w:contextualSpacing/>
              <w:jc w:val="both"/>
            </w:pPr>
          </w:p>
          <w:p w:rsidR="002867FB" w:rsidRDefault="00053E01" w:rsidP="00776CE9">
            <w:pPr>
              <w:pStyle w:val="Header"/>
              <w:tabs>
                <w:tab w:val="clear" w:pos="4320"/>
                <w:tab w:val="clear" w:pos="8640"/>
              </w:tabs>
              <w:contextualSpacing/>
              <w:jc w:val="both"/>
            </w:pPr>
            <w:r>
              <w:t>S.B. 1474</w:t>
            </w:r>
            <w:r>
              <w:t xml:space="preserve">, with respect to </w:t>
            </w:r>
            <w:r>
              <w:t>private activity bonds issued for purposes of certa</w:t>
            </w:r>
            <w:r>
              <w:t>in housing projects:</w:t>
            </w:r>
          </w:p>
          <w:p w:rsidR="002867FB" w:rsidRDefault="00053E01" w:rsidP="00776CE9">
            <w:pPr>
              <w:pStyle w:val="Header"/>
              <w:numPr>
                <w:ilvl w:val="0"/>
                <w:numId w:val="6"/>
              </w:numPr>
              <w:tabs>
                <w:tab w:val="clear" w:pos="4320"/>
                <w:tab w:val="clear" w:pos="8640"/>
              </w:tabs>
              <w:spacing w:before="120" w:after="120"/>
              <w:jc w:val="both"/>
            </w:pPr>
            <w:r>
              <w:t>raises from 75,000 to 100,000 a county population threshold used to determine whether a residential facility or facilities rehabilitated or constructed in a county and proposed to be financed by an issue of qualified residential rental</w:t>
            </w:r>
            <w:r>
              <w:t xml:space="preserve"> project bonds constitutes a project for purposes of such bond issuance</w:t>
            </w:r>
            <w:r>
              <w:t>;</w:t>
            </w:r>
          </w:p>
          <w:p w:rsidR="002867FB" w:rsidRDefault="00053E01" w:rsidP="00776CE9">
            <w:pPr>
              <w:pStyle w:val="Header"/>
              <w:numPr>
                <w:ilvl w:val="0"/>
                <w:numId w:val="6"/>
              </w:numPr>
              <w:tabs>
                <w:tab w:val="clear" w:pos="4320"/>
                <w:tab w:val="clear" w:pos="8640"/>
              </w:tabs>
              <w:spacing w:before="120" w:after="120"/>
              <w:jc w:val="both"/>
            </w:pPr>
            <w:r>
              <w:t>caps the maximum total fee required to accompany an application for a reservation or an application for a carryforward designation for a project that includes multiple qualified resid</w:t>
            </w:r>
            <w:r>
              <w:t>ential rental projects at $25,000</w:t>
            </w:r>
            <w:r>
              <w:t>;</w:t>
            </w:r>
          </w:p>
          <w:p w:rsidR="002867FB" w:rsidRDefault="00053E01" w:rsidP="00776CE9">
            <w:pPr>
              <w:pStyle w:val="Header"/>
              <w:numPr>
                <w:ilvl w:val="0"/>
                <w:numId w:val="6"/>
              </w:numPr>
              <w:tabs>
                <w:tab w:val="clear" w:pos="4320"/>
                <w:tab w:val="clear" w:pos="8640"/>
              </w:tabs>
              <w:spacing w:before="120" w:after="120"/>
              <w:jc w:val="both"/>
            </w:pPr>
            <w:r>
              <w:t>removes and repeals requirements, regarding the amounts of the state ceiling available before August 15 exclusively to the Texas Department of Housing and Community Affairs and to housing finance corporations for the issu</w:t>
            </w:r>
            <w:r>
              <w:t>ance of qualified residential rental project bonds, that the board grant reservations from those set</w:t>
            </w:r>
            <w:r>
              <w:t>-</w:t>
            </w:r>
            <w:r>
              <w:t>aside amounts in a manner that ensures that not more than 50 percent of each set</w:t>
            </w:r>
            <w:r>
              <w:t>-</w:t>
            </w:r>
            <w:r>
              <w:t>aside amount is used for proposed projects that are located in certain qua</w:t>
            </w:r>
            <w:r>
              <w:t>lified census tracts</w:t>
            </w:r>
            <w:r>
              <w:t>;</w:t>
            </w:r>
          </w:p>
          <w:p w:rsidR="002867FB" w:rsidRDefault="00053E01" w:rsidP="00776CE9">
            <w:pPr>
              <w:pStyle w:val="Header"/>
              <w:numPr>
                <w:ilvl w:val="0"/>
                <w:numId w:val="6"/>
              </w:numPr>
              <w:tabs>
                <w:tab w:val="clear" w:pos="4320"/>
                <w:tab w:val="clear" w:pos="8640"/>
              </w:tabs>
              <w:spacing w:before="120" w:after="120"/>
              <w:jc w:val="both"/>
            </w:pPr>
            <w:r>
              <w:t>changes the period in which the board is required to apportion the amount of the state ceiling set aside for housing finance corporations among the uniform state service regions proportionally by population from before May 1 to before</w:t>
            </w:r>
            <w:r>
              <w:t xml:space="preserve"> March 1 and repeals certain additional requirements relating to that regional apportionment</w:t>
            </w:r>
            <w:r>
              <w:t>;</w:t>
            </w:r>
          </w:p>
          <w:p w:rsidR="002867FB" w:rsidRDefault="00053E01" w:rsidP="00776CE9">
            <w:pPr>
              <w:pStyle w:val="Header"/>
              <w:numPr>
                <w:ilvl w:val="0"/>
                <w:numId w:val="6"/>
              </w:numPr>
              <w:tabs>
                <w:tab w:val="clear" w:pos="4320"/>
                <w:tab w:val="clear" w:pos="8640"/>
              </w:tabs>
              <w:spacing w:before="120" w:after="120"/>
              <w:jc w:val="both"/>
            </w:pPr>
            <w:r>
              <w:t>changes the cap on the allocation a housing finance corporation may receive for the issuance of qualified mortgage bonds from $40 million to the greater of $50 mi</w:t>
            </w:r>
            <w:r>
              <w:t>llion or 1.70 percent of the state ceiling; and</w:t>
            </w:r>
          </w:p>
          <w:p w:rsidR="002867FB" w:rsidRDefault="00053E01" w:rsidP="00776CE9">
            <w:pPr>
              <w:pStyle w:val="Header"/>
              <w:numPr>
                <w:ilvl w:val="0"/>
                <w:numId w:val="6"/>
              </w:numPr>
              <w:tabs>
                <w:tab w:val="clear" w:pos="4320"/>
                <w:tab w:val="clear" w:pos="8640"/>
              </w:tabs>
              <w:spacing w:before="120" w:after="120"/>
              <w:jc w:val="both"/>
            </w:pPr>
            <w:r>
              <w:t>prohibits a housing finance corporation from being penalized for insufficient utilization of the corporation's allocation of the state ceiling if the application for a reservation is received after July 14.</w:t>
            </w:r>
          </w:p>
          <w:p w:rsidR="002867FB" w:rsidRDefault="00053E01" w:rsidP="00776CE9">
            <w:pPr>
              <w:pStyle w:val="Header"/>
              <w:tabs>
                <w:tab w:val="clear" w:pos="4320"/>
                <w:tab w:val="clear" w:pos="8640"/>
              </w:tabs>
              <w:contextualSpacing/>
              <w:jc w:val="both"/>
            </w:pPr>
          </w:p>
          <w:p w:rsidR="002867FB" w:rsidRDefault="00053E01" w:rsidP="00776CE9">
            <w:pPr>
              <w:pStyle w:val="Header"/>
              <w:tabs>
                <w:tab w:val="clear" w:pos="4320"/>
                <w:tab w:val="clear" w:pos="8640"/>
              </w:tabs>
              <w:contextualSpacing/>
              <w:jc w:val="both"/>
            </w:pPr>
            <w:r>
              <w:t>S.B. 1474 repeals a provision relating to a cap on a reservation granted to the Texas Water Development Board for a water development issue. The bill's provisions relating to the specific authority of the state or a local government to issue private activi</w:t>
            </w:r>
            <w:r>
              <w:t xml:space="preserve">ty bonds and certain other bonds apply </w:t>
            </w:r>
            <w:r w:rsidRPr="00C3564B">
              <w:t>to the allocation of the ava</w:t>
            </w:r>
            <w:r>
              <w:t xml:space="preserve">ilable state ceiling </w:t>
            </w:r>
            <w:r w:rsidRPr="00C3564B">
              <w:t>beginning with the 20</w:t>
            </w:r>
            <w:r>
              <w:t>20</w:t>
            </w:r>
            <w:r w:rsidRPr="00C3564B">
              <w:t xml:space="preserve"> program year.</w:t>
            </w:r>
          </w:p>
          <w:p w:rsidR="00B83A57" w:rsidRDefault="00053E01" w:rsidP="00776CE9">
            <w:pPr>
              <w:pStyle w:val="Header"/>
              <w:tabs>
                <w:tab w:val="clear" w:pos="4320"/>
                <w:tab w:val="clear" w:pos="8640"/>
              </w:tabs>
              <w:contextualSpacing/>
              <w:jc w:val="both"/>
            </w:pPr>
          </w:p>
          <w:p w:rsidR="00C84460" w:rsidRDefault="00053E01" w:rsidP="00776CE9">
            <w:pPr>
              <w:pStyle w:val="Header"/>
              <w:tabs>
                <w:tab w:val="clear" w:pos="4320"/>
                <w:tab w:val="clear" w:pos="8640"/>
              </w:tabs>
              <w:contextualSpacing/>
              <w:jc w:val="both"/>
            </w:pPr>
            <w:r>
              <w:t>S.B. 1474 repeals the following provisions of the Government Code:</w:t>
            </w:r>
          </w:p>
          <w:p w:rsidR="00C84460" w:rsidRDefault="00053E01" w:rsidP="00776CE9">
            <w:pPr>
              <w:pStyle w:val="Header"/>
              <w:numPr>
                <w:ilvl w:val="0"/>
                <w:numId w:val="2"/>
              </w:numPr>
              <w:spacing w:before="120" w:after="120"/>
              <w:jc w:val="both"/>
            </w:pPr>
            <w:r>
              <w:t>Section 1372.001(18)</w:t>
            </w:r>
          </w:p>
          <w:p w:rsidR="00C84460" w:rsidRDefault="00053E01" w:rsidP="00776CE9">
            <w:pPr>
              <w:pStyle w:val="Header"/>
              <w:numPr>
                <w:ilvl w:val="0"/>
                <w:numId w:val="2"/>
              </w:numPr>
              <w:spacing w:before="120" w:after="120"/>
              <w:jc w:val="both"/>
            </w:pPr>
            <w:r>
              <w:t>Sections 1372.0231(c) and (e)</w:t>
            </w:r>
          </w:p>
          <w:p w:rsidR="00C84460" w:rsidRDefault="00053E01" w:rsidP="00776CE9">
            <w:pPr>
              <w:pStyle w:val="Header"/>
              <w:numPr>
                <w:ilvl w:val="0"/>
                <w:numId w:val="2"/>
              </w:numPr>
              <w:tabs>
                <w:tab w:val="clear" w:pos="4320"/>
                <w:tab w:val="clear" w:pos="8640"/>
              </w:tabs>
              <w:spacing w:before="120" w:after="120"/>
              <w:jc w:val="both"/>
            </w:pPr>
            <w:r>
              <w:t xml:space="preserve">Section </w:t>
            </w:r>
            <w:r>
              <w:t>1372.037(b)</w:t>
            </w:r>
          </w:p>
          <w:p w:rsidR="008423E4" w:rsidRPr="00835628" w:rsidRDefault="00053E01" w:rsidP="00776CE9">
            <w:pPr>
              <w:contextualSpacing/>
              <w:rPr>
                <w:b/>
              </w:rPr>
            </w:pPr>
          </w:p>
        </w:tc>
      </w:tr>
      <w:tr w:rsidR="00040BAD" w:rsidTr="00345119">
        <w:tc>
          <w:tcPr>
            <w:tcW w:w="9576" w:type="dxa"/>
          </w:tcPr>
          <w:p w:rsidR="008423E4" w:rsidRPr="00A8133F" w:rsidRDefault="00053E01" w:rsidP="00776CE9">
            <w:pPr>
              <w:rPr>
                <w:b/>
              </w:rPr>
            </w:pPr>
            <w:r w:rsidRPr="009C1E9A">
              <w:rPr>
                <w:b/>
                <w:u w:val="single"/>
              </w:rPr>
              <w:t>EFFECTIVE DATE</w:t>
            </w:r>
            <w:r>
              <w:rPr>
                <w:b/>
              </w:rPr>
              <w:t xml:space="preserve"> </w:t>
            </w:r>
          </w:p>
          <w:p w:rsidR="008423E4" w:rsidRDefault="00053E01" w:rsidP="00776CE9"/>
          <w:p w:rsidR="008423E4" w:rsidRPr="003624F2" w:rsidRDefault="00053E01" w:rsidP="00776CE9">
            <w:pPr>
              <w:pStyle w:val="Header"/>
              <w:tabs>
                <w:tab w:val="clear" w:pos="4320"/>
                <w:tab w:val="clear" w:pos="8640"/>
              </w:tabs>
              <w:jc w:val="both"/>
            </w:pPr>
            <w:r>
              <w:t>September 1, 2019.</w:t>
            </w:r>
          </w:p>
          <w:p w:rsidR="008423E4" w:rsidRPr="00233FDB" w:rsidRDefault="00053E01" w:rsidP="00776CE9">
            <w:pPr>
              <w:rPr>
                <w:b/>
              </w:rPr>
            </w:pPr>
          </w:p>
        </w:tc>
      </w:tr>
    </w:tbl>
    <w:p w:rsidR="008423E4" w:rsidRPr="00BE0E75" w:rsidRDefault="00053E01" w:rsidP="008423E4">
      <w:pPr>
        <w:spacing w:line="480" w:lineRule="auto"/>
        <w:jc w:val="both"/>
        <w:rPr>
          <w:rFonts w:ascii="Arial" w:hAnsi="Arial"/>
          <w:sz w:val="16"/>
          <w:szCs w:val="16"/>
        </w:rPr>
      </w:pPr>
    </w:p>
    <w:p w:rsidR="004108C3" w:rsidRPr="008423E4" w:rsidRDefault="00053E0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53E01">
      <w:r>
        <w:separator/>
      </w:r>
    </w:p>
  </w:endnote>
  <w:endnote w:type="continuationSeparator" w:id="0">
    <w:p w:rsidR="00000000" w:rsidRDefault="0005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53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40BAD" w:rsidTr="009C1E9A">
      <w:trPr>
        <w:cantSplit/>
      </w:trPr>
      <w:tc>
        <w:tcPr>
          <w:tcW w:w="0" w:type="pct"/>
        </w:tcPr>
        <w:p w:rsidR="00137D90" w:rsidRDefault="00053E01" w:rsidP="009C1E9A">
          <w:pPr>
            <w:pStyle w:val="Footer"/>
            <w:tabs>
              <w:tab w:val="clear" w:pos="8640"/>
              <w:tab w:val="right" w:pos="9360"/>
            </w:tabs>
          </w:pPr>
        </w:p>
      </w:tc>
      <w:tc>
        <w:tcPr>
          <w:tcW w:w="2395" w:type="pct"/>
        </w:tcPr>
        <w:p w:rsidR="00137D90" w:rsidRDefault="00053E01" w:rsidP="009C1E9A">
          <w:pPr>
            <w:pStyle w:val="Footer"/>
            <w:tabs>
              <w:tab w:val="clear" w:pos="8640"/>
              <w:tab w:val="right" w:pos="9360"/>
            </w:tabs>
          </w:pPr>
        </w:p>
        <w:p w:rsidR="001A4310" w:rsidRDefault="00053E01" w:rsidP="009C1E9A">
          <w:pPr>
            <w:pStyle w:val="Footer"/>
            <w:tabs>
              <w:tab w:val="clear" w:pos="8640"/>
              <w:tab w:val="right" w:pos="9360"/>
            </w:tabs>
          </w:pPr>
        </w:p>
        <w:p w:rsidR="00137D90" w:rsidRDefault="00053E01" w:rsidP="009C1E9A">
          <w:pPr>
            <w:pStyle w:val="Footer"/>
            <w:tabs>
              <w:tab w:val="clear" w:pos="8640"/>
              <w:tab w:val="right" w:pos="9360"/>
            </w:tabs>
          </w:pPr>
        </w:p>
      </w:tc>
      <w:tc>
        <w:tcPr>
          <w:tcW w:w="2453" w:type="pct"/>
        </w:tcPr>
        <w:p w:rsidR="00137D90" w:rsidRDefault="00053E01" w:rsidP="009C1E9A">
          <w:pPr>
            <w:pStyle w:val="Footer"/>
            <w:tabs>
              <w:tab w:val="clear" w:pos="8640"/>
              <w:tab w:val="right" w:pos="9360"/>
            </w:tabs>
            <w:jc w:val="right"/>
          </w:pPr>
        </w:p>
      </w:tc>
    </w:tr>
    <w:tr w:rsidR="00040BAD" w:rsidTr="009C1E9A">
      <w:trPr>
        <w:cantSplit/>
      </w:trPr>
      <w:tc>
        <w:tcPr>
          <w:tcW w:w="0" w:type="pct"/>
        </w:tcPr>
        <w:p w:rsidR="00EC379B" w:rsidRDefault="00053E01" w:rsidP="009C1E9A">
          <w:pPr>
            <w:pStyle w:val="Footer"/>
            <w:tabs>
              <w:tab w:val="clear" w:pos="8640"/>
              <w:tab w:val="right" w:pos="9360"/>
            </w:tabs>
          </w:pPr>
        </w:p>
      </w:tc>
      <w:tc>
        <w:tcPr>
          <w:tcW w:w="2395" w:type="pct"/>
        </w:tcPr>
        <w:p w:rsidR="00EC379B" w:rsidRPr="009C1E9A" w:rsidRDefault="00053E01" w:rsidP="009C1E9A">
          <w:pPr>
            <w:pStyle w:val="Footer"/>
            <w:tabs>
              <w:tab w:val="clear" w:pos="8640"/>
              <w:tab w:val="right" w:pos="9360"/>
            </w:tabs>
            <w:rPr>
              <w:rFonts w:ascii="Shruti" w:hAnsi="Shruti"/>
              <w:sz w:val="22"/>
            </w:rPr>
          </w:pPr>
          <w:r>
            <w:rPr>
              <w:rFonts w:ascii="Shruti" w:hAnsi="Shruti"/>
              <w:sz w:val="22"/>
            </w:rPr>
            <w:t>86R 30882</w:t>
          </w:r>
        </w:p>
      </w:tc>
      <w:tc>
        <w:tcPr>
          <w:tcW w:w="2453" w:type="pct"/>
        </w:tcPr>
        <w:p w:rsidR="00EC379B" w:rsidRDefault="00053E01" w:rsidP="009C1E9A">
          <w:pPr>
            <w:pStyle w:val="Footer"/>
            <w:tabs>
              <w:tab w:val="clear" w:pos="8640"/>
              <w:tab w:val="right" w:pos="9360"/>
            </w:tabs>
            <w:jc w:val="right"/>
          </w:pPr>
          <w:r>
            <w:fldChar w:fldCharType="begin"/>
          </w:r>
          <w:r>
            <w:instrText xml:space="preserve"> DOCPROPERTY  OTID  \* MERGEFORMAT </w:instrText>
          </w:r>
          <w:r>
            <w:fldChar w:fldCharType="separate"/>
          </w:r>
          <w:r>
            <w:t>19.121.281</w:t>
          </w:r>
          <w:r>
            <w:fldChar w:fldCharType="end"/>
          </w:r>
        </w:p>
      </w:tc>
    </w:tr>
    <w:tr w:rsidR="00040BAD" w:rsidTr="009C1E9A">
      <w:trPr>
        <w:cantSplit/>
      </w:trPr>
      <w:tc>
        <w:tcPr>
          <w:tcW w:w="0" w:type="pct"/>
        </w:tcPr>
        <w:p w:rsidR="00EC379B" w:rsidRDefault="00053E01" w:rsidP="009C1E9A">
          <w:pPr>
            <w:pStyle w:val="Footer"/>
            <w:tabs>
              <w:tab w:val="clear" w:pos="4320"/>
              <w:tab w:val="clear" w:pos="8640"/>
              <w:tab w:val="left" w:pos="2865"/>
            </w:tabs>
          </w:pPr>
        </w:p>
      </w:tc>
      <w:tc>
        <w:tcPr>
          <w:tcW w:w="2395" w:type="pct"/>
        </w:tcPr>
        <w:p w:rsidR="00EC379B" w:rsidRPr="009C1E9A" w:rsidRDefault="00053E01" w:rsidP="009C1E9A">
          <w:pPr>
            <w:pStyle w:val="Footer"/>
            <w:tabs>
              <w:tab w:val="clear" w:pos="4320"/>
              <w:tab w:val="clear" w:pos="8640"/>
              <w:tab w:val="left" w:pos="2865"/>
            </w:tabs>
            <w:rPr>
              <w:rFonts w:ascii="Shruti" w:hAnsi="Shruti"/>
              <w:sz w:val="22"/>
            </w:rPr>
          </w:pPr>
        </w:p>
      </w:tc>
      <w:tc>
        <w:tcPr>
          <w:tcW w:w="2453" w:type="pct"/>
        </w:tcPr>
        <w:p w:rsidR="00EC379B" w:rsidRDefault="00053E01" w:rsidP="006D504F">
          <w:pPr>
            <w:pStyle w:val="Footer"/>
            <w:rPr>
              <w:rStyle w:val="PageNumber"/>
            </w:rPr>
          </w:pPr>
        </w:p>
        <w:p w:rsidR="00EC379B" w:rsidRDefault="00053E01" w:rsidP="009C1E9A">
          <w:pPr>
            <w:pStyle w:val="Footer"/>
            <w:tabs>
              <w:tab w:val="clear" w:pos="8640"/>
              <w:tab w:val="right" w:pos="9360"/>
            </w:tabs>
            <w:jc w:val="right"/>
          </w:pPr>
        </w:p>
      </w:tc>
    </w:tr>
    <w:tr w:rsidR="00040BAD" w:rsidTr="009C1E9A">
      <w:trPr>
        <w:cantSplit/>
        <w:trHeight w:val="323"/>
      </w:trPr>
      <w:tc>
        <w:tcPr>
          <w:tcW w:w="0" w:type="pct"/>
          <w:gridSpan w:val="3"/>
        </w:tcPr>
        <w:p w:rsidR="00EC379B" w:rsidRDefault="00053E0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053E01" w:rsidP="009C1E9A">
          <w:pPr>
            <w:pStyle w:val="Footer"/>
            <w:tabs>
              <w:tab w:val="clear" w:pos="8640"/>
              <w:tab w:val="right" w:pos="9360"/>
            </w:tabs>
            <w:jc w:val="center"/>
          </w:pPr>
        </w:p>
      </w:tc>
    </w:tr>
  </w:tbl>
  <w:p w:rsidR="00EC379B" w:rsidRPr="00FF6F72" w:rsidRDefault="00053E0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53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53E01">
      <w:r>
        <w:separator/>
      </w:r>
    </w:p>
  </w:footnote>
  <w:footnote w:type="continuationSeparator" w:id="0">
    <w:p w:rsidR="00000000" w:rsidRDefault="00053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53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53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53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72CF"/>
    <w:multiLevelType w:val="hybridMultilevel"/>
    <w:tmpl w:val="8EFCF9C2"/>
    <w:lvl w:ilvl="0" w:tplc="7A1E776C">
      <w:start w:val="1"/>
      <w:numFmt w:val="bullet"/>
      <w:lvlText w:val=""/>
      <w:lvlJc w:val="left"/>
      <w:pPr>
        <w:tabs>
          <w:tab w:val="num" w:pos="720"/>
        </w:tabs>
        <w:ind w:left="720" w:hanging="360"/>
      </w:pPr>
      <w:rPr>
        <w:rFonts w:ascii="Symbol" w:hAnsi="Symbol" w:hint="default"/>
      </w:rPr>
    </w:lvl>
    <w:lvl w:ilvl="1" w:tplc="E3328DEE" w:tentative="1">
      <w:start w:val="1"/>
      <w:numFmt w:val="bullet"/>
      <w:lvlText w:val="o"/>
      <w:lvlJc w:val="left"/>
      <w:pPr>
        <w:ind w:left="1440" w:hanging="360"/>
      </w:pPr>
      <w:rPr>
        <w:rFonts w:ascii="Courier New" w:hAnsi="Courier New" w:cs="Courier New" w:hint="default"/>
      </w:rPr>
    </w:lvl>
    <w:lvl w:ilvl="2" w:tplc="75A6E008" w:tentative="1">
      <w:start w:val="1"/>
      <w:numFmt w:val="bullet"/>
      <w:lvlText w:val=""/>
      <w:lvlJc w:val="left"/>
      <w:pPr>
        <w:ind w:left="2160" w:hanging="360"/>
      </w:pPr>
      <w:rPr>
        <w:rFonts w:ascii="Wingdings" w:hAnsi="Wingdings" w:hint="default"/>
      </w:rPr>
    </w:lvl>
    <w:lvl w:ilvl="3" w:tplc="22F0C970" w:tentative="1">
      <w:start w:val="1"/>
      <w:numFmt w:val="bullet"/>
      <w:lvlText w:val=""/>
      <w:lvlJc w:val="left"/>
      <w:pPr>
        <w:ind w:left="2880" w:hanging="360"/>
      </w:pPr>
      <w:rPr>
        <w:rFonts w:ascii="Symbol" w:hAnsi="Symbol" w:hint="default"/>
      </w:rPr>
    </w:lvl>
    <w:lvl w:ilvl="4" w:tplc="727C77EA" w:tentative="1">
      <w:start w:val="1"/>
      <w:numFmt w:val="bullet"/>
      <w:lvlText w:val="o"/>
      <w:lvlJc w:val="left"/>
      <w:pPr>
        <w:ind w:left="3600" w:hanging="360"/>
      </w:pPr>
      <w:rPr>
        <w:rFonts w:ascii="Courier New" w:hAnsi="Courier New" w:cs="Courier New" w:hint="default"/>
      </w:rPr>
    </w:lvl>
    <w:lvl w:ilvl="5" w:tplc="C3F2B2E2" w:tentative="1">
      <w:start w:val="1"/>
      <w:numFmt w:val="bullet"/>
      <w:lvlText w:val=""/>
      <w:lvlJc w:val="left"/>
      <w:pPr>
        <w:ind w:left="4320" w:hanging="360"/>
      </w:pPr>
      <w:rPr>
        <w:rFonts w:ascii="Wingdings" w:hAnsi="Wingdings" w:hint="default"/>
      </w:rPr>
    </w:lvl>
    <w:lvl w:ilvl="6" w:tplc="36EEACDE" w:tentative="1">
      <w:start w:val="1"/>
      <w:numFmt w:val="bullet"/>
      <w:lvlText w:val=""/>
      <w:lvlJc w:val="left"/>
      <w:pPr>
        <w:ind w:left="5040" w:hanging="360"/>
      </w:pPr>
      <w:rPr>
        <w:rFonts w:ascii="Symbol" w:hAnsi="Symbol" w:hint="default"/>
      </w:rPr>
    </w:lvl>
    <w:lvl w:ilvl="7" w:tplc="749AABFE" w:tentative="1">
      <w:start w:val="1"/>
      <w:numFmt w:val="bullet"/>
      <w:lvlText w:val="o"/>
      <w:lvlJc w:val="left"/>
      <w:pPr>
        <w:ind w:left="5760" w:hanging="360"/>
      </w:pPr>
      <w:rPr>
        <w:rFonts w:ascii="Courier New" w:hAnsi="Courier New" w:cs="Courier New" w:hint="default"/>
      </w:rPr>
    </w:lvl>
    <w:lvl w:ilvl="8" w:tplc="A1A60D64" w:tentative="1">
      <w:start w:val="1"/>
      <w:numFmt w:val="bullet"/>
      <w:lvlText w:val=""/>
      <w:lvlJc w:val="left"/>
      <w:pPr>
        <w:ind w:left="6480" w:hanging="360"/>
      </w:pPr>
      <w:rPr>
        <w:rFonts w:ascii="Wingdings" w:hAnsi="Wingdings" w:hint="default"/>
      </w:rPr>
    </w:lvl>
  </w:abstractNum>
  <w:abstractNum w:abstractNumId="1" w15:restartNumberingAfterBreak="0">
    <w:nsid w:val="18CF7484"/>
    <w:multiLevelType w:val="hybridMultilevel"/>
    <w:tmpl w:val="73FE3E96"/>
    <w:lvl w:ilvl="0" w:tplc="6D2E16F8">
      <w:start w:val="1"/>
      <w:numFmt w:val="bullet"/>
      <w:lvlText w:val=""/>
      <w:lvlJc w:val="left"/>
      <w:pPr>
        <w:tabs>
          <w:tab w:val="num" w:pos="720"/>
        </w:tabs>
        <w:ind w:left="720" w:hanging="360"/>
      </w:pPr>
      <w:rPr>
        <w:rFonts w:ascii="Symbol" w:hAnsi="Symbol" w:hint="default"/>
      </w:rPr>
    </w:lvl>
    <w:lvl w:ilvl="1" w:tplc="67FC8606" w:tentative="1">
      <w:start w:val="1"/>
      <w:numFmt w:val="bullet"/>
      <w:lvlText w:val="o"/>
      <w:lvlJc w:val="left"/>
      <w:pPr>
        <w:ind w:left="1440" w:hanging="360"/>
      </w:pPr>
      <w:rPr>
        <w:rFonts w:ascii="Courier New" w:hAnsi="Courier New" w:cs="Courier New" w:hint="default"/>
      </w:rPr>
    </w:lvl>
    <w:lvl w:ilvl="2" w:tplc="FF34F804" w:tentative="1">
      <w:start w:val="1"/>
      <w:numFmt w:val="bullet"/>
      <w:lvlText w:val=""/>
      <w:lvlJc w:val="left"/>
      <w:pPr>
        <w:ind w:left="2160" w:hanging="360"/>
      </w:pPr>
      <w:rPr>
        <w:rFonts w:ascii="Wingdings" w:hAnsi="Wingdings" w:hint="default"/>
      </w:rPr>
    </w:lvl>
    <w:lvl w:ilvl="3" w:tplc="3A703A80" w:tentative="1">
      <w:start w:val="1"/>
      <w:numFmt w:val="bullet"/>
      <w:lvlText w:val=""/>
      <w:lvlJc w:val="left"/>
      <w:pPr>
        <w:ind w:left="2880" w:hanging="360"/>
      </w:pPr>
      <w:rPr>
        <w:rFonts w:ascii="Symbol" w:hAnsi="Symbol" w:hint="default"/>
      </w:rPr>
    </w:lvl>
    <w:lvl w:ilvl="4" w:tplc="A3E631BE" w:tentative="1">
      <w:start w:val="1"/>
      <w:numFmt w:val="bullet"/>
      <w:lvlText w:val="o"/>
      <w:lvlJc w:val="left"/>
      <w:pPr>
        <w:ind w:left="3600" w:hanging="360"/>
      </w:pPr>
      <w:rPr>
        <w:rFonts w:ascii="Courier New" w:hAnsi="Courier New" w:cs="Courier New" w:hint="default"/>
      </w:rPr>
    </w:lvl>
    <w:lvl w:ilvl="5" w:tplc="B0820430" w:tentative="1">
      <w:start w:val="1"/>
      <w:numFmt w:val="bullet"/>
      <w:lvlText w:val=""/>
      <w:lvlJc w:val="left"/>
      <w:pPr>
        <w:ind w:left="4320" w:hanging="360"/>
      </w:pPr>
      <w:rPr>
        <w:rFonts w:ascii="Wingdings" w:hAnsi="Wingdings" w:hint="default"/>
      </w:rPr>
    </w:lvl>
    <w:lvl w:ilvl="6" w:tplc="FF3C289C" w:tentative="1">
      <w:start w:val="1"/>
      <w:numFmt w:val="bullet"/>
      <w:lvlText w:val=""/>
      <w:lvlJc w:val="left"/>
      <w:pPr>
        <w:ind w:left="5040" w:hanging="360"/>
      </w:pPr>
      <w:rPr>
        <w:rFonts w:ascii="Symbol" w:hAnsi="Symbol" w:hint="default"/>
      </w:rPr>
    </w:lvl>
    <w:lvl w:ilvl="7" w:tplc="37DEABB0" w:tentative="1">
      <w:start w:val="1"/>
      <w:numFmt w:val="bullet"/>
      <w:lvlText w:val="o"/>
      <w:lvlJc w:val="left"/>
      <w:pPr>
        <w:ind w:left="5760" w:hanging="360"/>
      </w:pPr>
      <w:rPr>
        <w:rFonts w:ascii="Courier New" w:hAnsi="Courier New" w:cs="Courier New" w:hint="default"/>
      </w:rPr>
    </w:lvl>
    <w:lvl w:ilvl="8" w:tplc="284E8B10" w:tentative="1">
      <w:start w:val="1"/>
      <w:numFmt w:val="bullet"/>
      <w:lvlText w:val=""/>
      <w:lvlJc w:val="left"/>
      <w:pPr>
        <w:ind w:left="6480" w:hanging="360"/>
      </w:pPr>
      <w:rPr>
        <w:rFonts w:ascii="Wingdings" w:hAnsi="Wingdings" w:hint="default"/>
      </w:rPr>
    </w:lvl>
  </w:abstractNum>
  <w:abstractNum w:abstractNumId="2" w15:restartNumberingAfterBreak="0">
    <w:nsid w:val="23D30FCC"/>
    <w:multiLevelType w:val="hybridMultilevel"/>
    <w:tmpl w:val="6EC6264A"/>
    <w:lvl w:ilvl="0" w:tplc="F7DECC66">
      <w:start w:val="1"/>
      <w:numFmt w:val="bullet"/>
      <w:lvlText w:val=""/>
      <w:lvlJc w:val="left"/>
      <w:pPr>
        <w:tabs>
          <w:tab w:val="num" w:pos="720"/>
        </w:tabs>
        <w:ind w:left="720" w:hanging="360"/>
      </w:pPr>
      <w:rPr>
        <w:rFonts w:ascii="Symbol" w:hAnsi="Symbol" w:hint="default"/>
      </w:rPr>
    </w:lvl>
    <w:lvl w:ilvl="1" w:tplc="11D2F466" w:tentative="1">
      <w:start w:val="1"/>
      <w:numFmt w:val="bullet"/>
      <w:lvlText w:val="o"/>
      <w:lvlJc w:val="left"/>
      <w:pPr>
        <w:ind w:left="1440" w:hanging="360"/>
      </w:pPr>
      <w:rPr>
        <w:rFonts w:ascii="Courier New" w:hAnsi="Courier New" w:cs="Courier New" w:hint="default"/>
      </w:rPr>
    </w:lvl>
    <w:lvl w:ilvl="2" w:tplc="7BF25578" w:tentative="1">
      <w:start w:val="1"/>
      <w:numFmt w:val="bullet"/>
      <w:lvlText w:val=""/>
      <w:lvlJc w:val="left"/>
      <w:pPr>
        <w:ind w:left="2160" w:hanging="360"/>
      </w:pPr>
      <w:rPr>
        <w:rFonts w:ascii="Wingdings" w:hAnsi="Wingdings" w:hint="default"/>
      </w:rPr>
    </w:lvl>
    <w:lvl w:ilvl="3" w:tplc="46942110" w:tentative="1">
      <w:start w:val="1"/>
      <w:numFmt w:val="bullet"/>
      <w:lvlText w:val=""/>
      <w:lvlJc w:val="left"/>
      <w:pPr>
        <w:ind w:left="2880" w:hanging="360"/>
      </w:pPr>
      <w:rPr>
        <w:rFonts w:ascii="Symbol" w:hAnsi="Symbol" w:hint="default"/>
      </w:rPr>
    </w:lvl>
    <w:lvl w:ilvl="4" w:tplc="C894756E" w:tentative="1">
      <w:start w:val="1"/>
      <w:numFmt w:val="bullet"/>
      <w:lvlText w:val="o"/>
      <w:lvlJc w:val="left"/>
      <w:pPr>
        <w:ind w:left="3600" w:hanging="360"/>
      </w:pPr>
      <w:rPr>
        <w:rFonts w:ascii="Courier New" w:hAnsi="Courier New" w:cs="Courier New" w:hint="default"/>
      </w:rPr>
    </w:lvl>
    <w:lvl w:ilvl="5" w:tplc="71A4015E" w:tentative="1">
      <w:start w:val="1"/>
      <w:numFmt w:val="bullet"/>
      <w:lvlText w:val=""/>
      <w:lvlJc w:val="left"/>
      <w:pPr>
        <w:ind w:left="4320" w:hanging="360"/>
      </w:pPr>
      <w:rPr>
        <w:rFonts w:ascii="Wingdings" w:hAnsi="Wingdings" w:hint="default"/>
      </w:rPr>
    </w:lvl>
    <w:lvl w:ilvl="6" w:tplc="AD78785C" w:tentative="1">
      <w:start w:val="1"/>
      <w:numFmt w:val="bullet"/>
      <w:lvlText w:val=""/>
      <w:lvlJc w:val="left"/>
      <w:pPr>
        <w:ind w:left="5040" w:hanging="360"/>
      </w:pPr>
      <w:rPr>
        <w:rFonts w:ascii="Symbol" w:hAnsi="Symbol" w:hint="default"/>
      </w:rPr>
    </w:lvl>
    <w:lvl w:ilvl="7" w:tplc="BC9A0B36" w:tentative="1">
      <w:start w:val="1"/>
      <w:numFmt w:val="bullet"/>
      <w:lvlText w:val="o"/>
      <w:lvlJc w:val="left"/>
      <w:pPr>
        <w:ind w:left="5760" w:hanging="360"/>
      </w:pPr>
      <w:rPr>
        <w:rFonts w:ascii="Courier New" w:hAnsi="Courier New" w:cs="Courier New" w:hint="default"/>
      </w:rPr>
    </w:lvl>
    <w:lvl w:ilvl="8" w:tplc="6BAACB74" w:tentative="1">
      <w:start w:val="1"/>
      <w:numFmt w:val="bullet"/>
      <w:lvlText w:val=""/>
      <w:lvlJc w:val="left"/>
      <w:pPr>
        <w:ind w:left="6480" w:hanging="360"/>
      </w:pPr>
      <w:rPr>
        <w:rFonts w:ascii="Wingdings" w:hAnsi="Wingdings" w:hint="default"/>
      </w:rPr>
    </w:lvl>
  </w:abstractNum>
  <w:abstractNum w:abstractNumId="3" w15:restartNumberingAfterBreak="0">
    <w:nsid w:val="2AE26909"/>
    <w:multiLevelType w:val="hybridMultilevel"/>
    <w:tmpl w:val="B08218C4"/>
    <w:lvl w:ilvl="0" w:tplc="6D747250">
      <w:start w:val="1"/>
      <w:numFmt w:val="decimal"/>
      <w:lvlText w:val="(%1)"/>
      <w:lvlJc w:val="left"/>
      <w:pPr>
        <w:ind w:left="765" w:hanging="405"/>
      </w:pPr>
      <w:rPr>
        <w:rFonts w:hint="default"/>
      </w:rPr>
    </w:lvl>
    <w:lvl w:ilvl="1" w:tplc="F7F4FED2" w:tentative="1">
      <w:start w:val="1"/>
      <w:numFmt w:val="lowerLetter"/>
      <w:lvlText w:val="%2."/>
      <w:lvlJc w:val="left"/>
      <w:pPr>
        <w:ind w:left="1440" w:hanging="360"/>
      </w:pPr>
    </w:lvl>
    <w:lvl w:ilvl="2" w:tplc="41B04B2C" w:tentative="1">
      <w:start w:val="1"/>
      <w:numFmt w:val="lowerRoman"/>
      <w:lvlText w:val="%3."/>
      <w:lvlJc w:val="right"/>
      <w:pPr>
        <w:ind w:left="2160" w:hanging="180"/>
      </w:pPr>
    </w:lvl>
    <w:lvl w:ilvl="3" w:tplc="3902867A" w:tentative="1">
      <w:start w:val="1"/>
      <w:numFmt w:val="decimal"/>
      <w:lvlText w:val="%4."/>
      <w:lvlJc w:val="left"/>
      <w:pPr>
        <w:ind w:left="2880" w:hanging="360"/>
      </w:pPr>
    </w:lvl>
    <w:lvl w:ilvl="4" w:tplc="7338BB9C" w:tentative="1">
      <w:start w:val="1"/>
      <w:numFmt w:val="lowerLetter"/>
      <w:lvlText w:val="%5."/>
      <w:lvlJc w:val="left"/>
      <w:pPr>
        <w:ind w:left="3600" w:hanging="360"/>
      </w:pPr>
    </w:lvl>
    <w:lvl w:ilvl="5" w:tplc="D1B6EB10" w:tentative="1">
      <w:start w:val="1"/>
      <w:numFmt w:val="lowerRoman"/>
      <w:lvlText w:val="%6."/>
      <w:lvlJc w:val="right"/>
      <w:pPr>
        <w:ind w:left="4320" w:hanging="180"/>
      </w:pPr>
    </w:lvl>
    <w:lvl w:ilvl="6" w:tplc="528E88D4" w:tentative="1">
      <w:start w:val="1"/>
      <w:numFmt w:val="decimal"/>
      <w:lvlText w:val="%7."/>
      <w:lvlJc w:val="left"/>
      <w:pPr>
        <w:ind w:left="5040" w:hanging="360"/>
      </w:pPr>
    </w:lvl>
    <w:lvl w:ilvl="7" w:tplc="A106DC1E" w:tentative="1">
      <w:start w:val="1"/>
      <w:numFmt w:val="lowerLetter"/>
      <w:lvlText w:val="%8."/>
      <w:lvlJc w:val="left"/>
      <w:pPr>
        <w:ind w:left="5760" w:hanging="360"/>
      </w:pPr>
    </w:lvl>
    <w:lvl w:ilvl="8" w:tplc="E9AC2E98" w:tentative="1">
      <w:start w:val="1"/>
      <w:numFmt w:val="lowerRoman"/>
      <w:lvlText w:val="%9."/>
      <w:lvlJc w:val="right"/>
      <w:pPr>
        <w:ind w:left="6480" w:hanging="180"/>
      </w:pPr>
    </w:lvl>
  </w:abstractNum>
  <w:abstractNum w:abstractNumId="4" w15:restartNumberingAfterBreak="0">
    <w:nsid w:val="34DC22C2"/>
    <w:multiLevelType w:val="hybridMultilevel"/>
    <w:tmpl w:val="5502B8CC"/>
    <w:lvl w:ilvl="0" w:tplc="C630B83E">
      <w:start w:val="1"/>
      <w:numFmt w:val="bullet"/>
      <w:lvlText w:val=""/>
      <w:lvlJc w:val="left"/>
      <w:pPr>
        <w:tabs>
          <w:tab w:val="num" w:pos="720"/>
        </w:tabs>
        <w:ind w:left="720" w:hanging="360"/>
      </w:pPr>
      <w:rPr>
        <w:rFonts w:ascii="Symbol" w:hAnsi="Symbol" w:hint="default"/>
      </w:rPr>
    </w:lvl>
    <w:lvl w:ilvl="1" w:tplc="ABD0FE98" w:tentative="1">
      <w:start w:val="1"/>
      <w:numFmt w:val="bullet"/>
      <w:lvlText w:val="o"/>
      <w:lvlJc w:val="left"/>
      <w:pPr>
        <w:ind w:left="1440" w:hanging="360"/>
      </w:pPr>
      <w:rPr>
        <w:rFonts w:ascii="Courier New" w:hAnsi="Courier New" w:cs="Courier New" w:hint="default"/>
      </w:rPr>
    </w:lvl>
    <w:lvl w:ilvl="2" w:tplc="C0808C6C" w:tentative="1">
      <w:start w:val="1"/>
      <w:numFmt w:val="bullet"/>
      <w:lvlText w:val=""/>
      <w:lvlJc w:val="left"/>
      <w:pPr>
        <w:ind w:left="2160" w:hanging="360"/>
      </w:pPr>
      <w:rPr>
        <w:rFonts w:ascii="Wingdings" w:hAnsi="Wingdings" w:hint="default"/>
      </w:rPr>
    </w:lvl>
    <w:lvl w:ilvl="3" w:tplc="738EA326" w:tentative="1">
      <w:start w:val="1"/>
      <w:numFmt w:val="bullet"/>
      <w:lvlText w:val=""/>
      <w:lvlJc w:val="left"/>
      <w:pPr>
        <w:ind w:left="2880" w:hanging="360"/>
      </w:pPr>
      <w:rPr>
        <w:rFonts w:ascii="Symbol" w:hAnsi="Symbol" w:hint="default"/>
      </w:rPr>
    </w:lvl>
    <w:lvl w:ilvl="4" w:tplc="6518E198" w:tentative="1">
      <w:start w:val="1"/>
      <w:numFmt w:val="bullet"/>
      <w:lvlText w:val="o"/>
      <w:lvlJc w:val="left"/>
      <w:pPr>
        <w:ind w:left="3600" w:hanging="360"/>
      </w:pPr>
      <w:rPr>
        <w:rFonts w:ascii="Courier New" w:hAnsi="Courier New" w:cs="Courier New" w:hint="default"/>
      </w:rPr>
    </w:lvl>
    <w:lvl w:ilvl="5" w:tplc="02EEA5EA" w:tentative="1">
      <w:start w:val="1"/>
      <w:numFmt w:val="bullet"/>
      <w:lvlText w:val=""/>
      <w:lvlJc w:val="left"/>
      <w:pPr>
        <w:ind w:left="4320" w:hanging="360"/>
      </w:pPr>
      <w:rPr>
        <w:rFonts w:ascii="Wingdings" w:hAnsi="Wingdings" w:hint="default"/>
      </w:rPr>
    </w:lvl>
    <w:lvl w:ilvl="6" w:tplc="B1827238" w:tentative="1">
      <w:start w:val="1"/>
      <w:numFmt w:val="bullet"/>
      <w:lvlText w:val=""/>
      <w:lvlJc w:val="left"/>
      <w:pPr>
        <w:ind w:left="5040" w:hanging="360"/>
      </w:pPr>
      <w:rPr>
        <w:rFonts w:ascii="Symbol" w:hAnsi="Symbol" w:hint="default"/>
      </w:rPr>
    </w:lvl>
    <w:lvl w:ilvl="7" w:tplc="4C20D440" w:tentative="1">
      <w:start w:val="1"/>
      <w:numFmt w:val="bullet"/>
      <w:lvlText w:val="o"/>
      <w:lvlJc w:val="left"/>
      <w:pPr>
        <w:ind w:left="5760" w:hanging="360"/>
      </w:pPr>
      <w:rPr>
        <w:rFonts w:ascii="Courier New" w:hAnsi="Courier New" w:cs="Courier New" w:hint="default"/>
      </w:rPr>
    </w:lvl>
    <w:lvl w:ilvl="8" w:tplc="4E56B898" w:tentative="1">
      <w:start w:val="1"/>
      <w:numFmt w:val="bullet"/>
      <w:lvlText w:val=""/>
      <w:lvlJc w:val="left"/>
      <w:pPr>
        <w:ind w:left="6480" w:hanging="360"/>
      </w:pPr>
      <w:rPr>
        <w:rFonts w:ascii="Wingdings" w:hAnsi="Wingdings" w:hint="default"/>
      </w:rPr>
    </w:lvl>
  </w:abstractNum>
  <w:abstractNum w:abstractNumId="5" w15:restartNumberingAfterBreak="0">
    <w:nsid w:val="79FE6A05"/>
    <w:multiLevelType w:val="hybridMultilevel"/>
    <w:tmpl w:val="0B38A524"/>
    <w:lvl w:ilvl="0" w:tplc="FAB0E2F0">
      <w:start w:val="1"/>
      <w:numFmt w:val="bullet"/>
      <w:lvlText w:val=""/>
      <w:lvlJc w:val="left"/>
      <w:pPr>
        <w:tabs>
          <w:tab w:val="num" w:pos="720"/>
        </w:tabs>
        <w:ind w:left="720" w:hanging="360"/>
      </w:pPr>
      <w:rPr>
        <w:rFonts w:ascii="Symbol" w:hAnsi="Symbol" w:hint="default"/>
      </w:rPr>
    </w:lvl>
    <w:lvl w:ilvl="1" w:tplc="8D50D7FC" w:tentative="1">
      <w:start w:val="1"/>
      <w:numFmt w:val="bullet"/>
      <w:lvlText w:val="o"/>
      <w:lvlJc w:val="left"/>
      <w:pPr>
        <w:ind w:left="1440" w:hanging="360"/>
      </w:pPr>
      <w:rPr>
        <w:rFonts w:ascii="Courier New" w:hAnsi="Courier New" w:cs="Courier New" w:hint="default"/>
      </w:rPr>
    </w:lvl>
    <w:lvl w:ilvl="2" w:tplc="8EBEB0E6" w:tentative="1">
      <w:start w:val="1"/>
      <w:numFmt w:val="bullet"/>
      <w:lvlText w:val=""/>
      <w:lvlJc w:val="left"/>
      <w:pPr>
        <w:ind w:left="2160" w:hanging="360"/>
      </w:pPr>
      <w:rPr>
        <w:rFonts w:ascii="Wingdings" w:hAnsi="Wingdings" w:hint="default"/>
      </w:rPr>
    </w:lvl>
    <w:lvl w:ilvl="3" w:tplc="E73C86A2" w:tentative="1">
      <w:start w:val="1"/>
      <w:numFmt w:val="bullet"/>
      <w:lvlText w:val=""/>
      <w:lvlJc w:val="left"/>
      <w:pPr>
        <w:ind w:left="2880" w:hanging="360"/>
      </w:pPr>
      <w:rPr>
        <w:rFonts w:ascii="Symbol" w:hAnsi="Symbol" w:hint="default"/>
      </w:rPr>
    </w:lvl>
    <w:lvl w:ilvl="4" w:tplc="76287E76" w:tentative="1">
      <w:start w:val="1"/>
      <w:numFmt w:val="bullet"/>
      <w:lvlText w:val="o"/>
      <w:lvlJc w:val="left"/>
      <w:pPr>
        <w:ind w:left="3600" w:hanging="360"/>
      </w:pPr>
      <w:rPr>
        <w:rFonts w:ascii="Courier New" w:hAnsi="Courier New" w:cs="Courier New" w:hint="default"/>
      </w:rPr>
    </w:lvl>
    <w:lvl w:ilvl="5" w:tplc="D1CE490A" w:tentative="1">
      <w:start w:val="1"/>
      <w:numFmt w:val="bullet"/>
      <w:lvlText w:val=""/>
      <w:lvlJc w:val="left"/>
      <w:pPr>
        <w:ind w:left="4320" w:hanging="360"/>
      </w:pPr>
      <w:rPr>
        <w:rFonts w:ascii="Wingdings" w:hAnsi="Wingdings" w:hint="default"/>
      </w:rPr>
    </w:lvl>
    <w:lvl w:ilvl="6" w:tplc="680CEBD6" w:tentative="1">
      <w:start w:val="1"/>
      <w:numFmt w:val="bullet"/>
      <w:lvlText w:val=""/>
      <w:lvlJc w:val="left"/>
      <w:pPr>
        <w:ind w:left="5040" w:hanging="360"/>
      </w:pPr>
      <w:rPr>
        <w:rFonts w:ascii="Symbol" w:hAnsi="Symbol" w:hint="default"/>
      </w:rPr>
    </w:lvl>
    <w:lvl w:ilvl="7" w:tplc="0D945478" w:tentative="1">
      <w:start w:val="1"/>
      <w:numFmt w:val="bullet"/>
      <w:lvlText w:val="o"/>
      <w:lvlJc w:val="left"/>
      <w:pPr>
        <w:ind w:left="5760" w:hanging="360"/>
      </w:pPr>
      <w:rPr>
        <w:rFonts w:ascii="Courier New" w:hAnsi="Courier New" w:cs="Courier New" w:hint="default"/>
      </w:rPr>
    </w:lvl>
    <w:lvl w:ilvl="8" w:tplc="DDE2C0F0"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AD"/>
    <w:rsid w:val="00040BAD"/>
    <w:rsid w:val="0005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53EA98-89DE-46DD-AE57-839CE9C9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3564B"/>
    <w:rPr>
      <w:sz w:val="16"/>
      <w:szCs w:val="16"/>
    </w:rPr>
  </w:style>
  <w:style w:type="paragraph" w:styleId="CommentText">
    <w:name w:val="annotation text"/>
    <w:basedOn w:val="Normal"/>
    <w:link w:val="CommentTextChar"/>
    <w:semiHidden/>
    <w:unhideWhenUsed/>
    <w:rsid w:val="00C3564B"/>
    <w:rPr>
      <w:sz w:val="20"/>
      <w:szCs w:val="20"/>
    </w:rPr>
  </w:style>
  <w:style w:type="character" w:customStyle="1" w:styleId="CommentTextChar">
    <w:name w:val="Comment Text Char"/>
    <w:basedOn w:val="DefaultParagraphFont"/>
    <w:link w:val="CommentText"/>
    <w:semiHidden/>
    <w:rsid w:val="00C3564B"/>
  </w:style>
  <w:style w:type="paragraph" w:styleId="CommentSubject">
    <w:name w:val="annotation subject"/>
    <w:basedOn w:val="CommentText"/>
    <w:next w:val="CommentText"/>
    <w:link w:val="CommentSubjectChar"/>
    <w:semiHidden/>
    <w:unhideWhenUsed/>
    <w:rsid w:val="00C3564B"/>
    <w:rPr>
      <w:b/>
      <w:bCs/>
    </w:rPr>
  </w:style>
  <w:style w:type="character" w:customStyle="1" w:styleId="CommentSubjectChar">
    <w:name w:val="Comment Subject Char"/>
    <w:basedOn w:val="CommentTextChar"/>
    <w:link w:val="CommentSubject"/>
    <w:semiHidden/>
    <w:rsid w:val="00C3564B"/>
    <w:rPr>
      <w:b/>
      <w:bCs/>
    </w:rPr>
  </w:style>
  <w:style w:type="character" w:styleId="Hyperlink">
    <w:name w:val="Hyperlink"/>
    <w:basedOn w:val="DefaultParagraphFont"/>
    <w:unhideWhenUsed/>
    <w:rsid w:val="00C049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1453</Words>
  <Characters>7769</Characters>
  <Application>Microsoft Office Word</Application>
  <DocSecurity>4</DocSecurity>
  <Lines>146</Lines>
  <Paragraphs>40</Paragraphs>
  <ScaleCrop>false</ScaleCrop>
  <HeadingPairs>
    <vt:vector size="2" baseType="variant">
      <vt:variant>
        <vt:lpstr>Title</vt:lpstr>
      </vt:variant>
      <vt:variant>
        <vt:i4>1</vt:i4>
      </vt:variant>
    </vt:vector>
  </HeadingPairs>
  <TitlesOfParts>
    <vt:vector size="1" baseType="lpstr">
      <vt:lpstr>BA - SB01474 (Committee Report (Unamended))</vt:lpstr>
    </vt:vector>
  </TitlesOfParts>
  <Company>State of Texas</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30882</dc:subject>
  <dc:creator>State of Texas</dc:creator>
  <dc:description>SB 1474 by Lucio-(H)Pensions, Investments &amp; Financial Services</dc:description>
  <cp:lastModifiedBy>Scotty Wimberley</cp:lastModifiedBy>
  <cp:revision>2</cp:revision>
  <cp:lastPrinted>2019-03-06T20:58:00Z</cp:lastPrinted>
  <dcterms:created xsi:type="dcterms:W3CDTF">2019-05-13T13:45:00Z</dcterms:created>
  <dcterms:modified xsi:type="dcterms:W3CDTF">2019-05-13T13:45:00Z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19.121.281</vt:lpwstr>
  </property>
</Properties>
</file>