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7C5F" w:rsidTr="00345119">
        <w:tc>
          <w:tcPr>
            <w:tcW w:w="9576" w:type="dxa"/>
            <w:noWrap/>
          </w:tcPr>
          <w:p w:rsidR="008423E4" w:rsidRPr="0022177D" w:rsidRDefault="00FC6D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6D61" w:rsidP="008423E4">
      <w:pPr>
        <w:jc w:val="center"/>
      </w:pPr>
    </w:p>
    <w:p w:rsidR="008423E4" w:rsidRPr="00B31F0E" w:rsidRDefault="00FC6D61" w:rsidP="008423E4"/>
    <w:p w:rsidR="008423E4" w:rsidRPr="00742794" w:rsidRDefault="00FC6D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7C5F" w:rsidTr="00345119">
        <w:tc>
          <w:tcPr>
            <w:tcW w:w="9576" w:type="dxa"/>
          </w:tcPr>
          <w:p w:rsidR="008423E4" w:rsidRPr="00861995" w:rsidRDefault="00FC6D61" w:rsidP="00345119">
            <w:pPr>
              <w:jc w:val="right"/>
            </w:pPr>
            <w:r>
              <w:t>S.B. 1492</w:t>
            </w:r>
          </w:p>
        </w:tc>
      </w:tr>
      <w:tr w:rsidR="002E7C5F" w:rsidTr="00345119">
        <w:tc>
          <w:tcPr>
            <w:tcW w:w="9576" w:type="dxa"/>
          </w:tcPr>
          <w:p w:rsidR="008423E4" w:rsidRPr="00861995" w:rsidRDefault="00FC6D61" w:rsidP="00345119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2E7C5F" w:rsidTr="00345119">
        <w:tc>
          <w:tcPr>
            <w:tcW w:w="9576" w:type="dxa"/>
          </w:tcPr>
          <w:p w:rsidR="008423E4" w:rsidRPr="00861995" w:rsidRDefault="00FC6D61" w:rsidP="00345119">
            <w:pPr>
              <w:jc w:val="right"/>
            </w:pPr>
            <w:r>
              <w:t>Criminal Jurisprudence</w:t>
            </w:r>
          </w:p>
        </w:tc>
      </w:tr>
      <w:tr w:rsidR="002E7C5F" w:rsidTr="00345119">
        <w:tc>
          <w:tcPr>
            <w:tcW w:w="9576" w:type="dxa"/>
          </w:tcPr>
          <w:p w:rsidR="008423E4" w:rsidRDefault="00FC6D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6D61" w:rsidP="008423E4">
      <w:pPr>
        <w:tabs>
          <w:tab w:val="right" w:pos="9360"/>
        </w:tabs>
      </w:pPr>
    </w:p>
    <w:p w:rsidR="008423E4" w:rsidRDefault="00FC6D61" w:rsidP="008423E4"/>
    <w:p w:rsidR="008423E4" w:rsidRDefault="00FC6D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7C5F" w:rsidTr="00345119">
        <w:tc>
          <w:tcPr>
            <w:tcW w:w="9576" w:type="dxa"/>
          </w:tcPr>
          <w:p w:rsidR="008423E4" w:rsidRPr="00A8133F" w:rsidRDefault="00FC6D61" w:rsidP="007C4C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D61" w:rsidP="007C4CC5"/>
          <w:p w:rsidR="008423E4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Grand jury proceedings were created to protect citizens and to provide checks and balances against unjust or overzealous </w:t>
            </w:r>
            <w:r>
              <w:t>prosecution</w:t>
            </w:r>
            <w:r>
              <w:t xml:space="preserve"> and </w:t>
            </w:r>
            <w:r>
              <w:t xml:space="preserve">are not considered </w:t>
            </w:r>
            <w:r>
              <w:t xml:space="preserve">to be </w:t>
            </w:r>
            <w:r>
              <w:t>adversarial</w:t>
            </w:r>
            <w:r>
              <w:t>, unlike trials</w:t>
            </w:r>
            <w:r>
              <w:t xml:space="preserve">. </w:t>
            </w:r>
            <w:r>
              <w:t xml:space="preserve">However, concerns have been raised that </w:t>
            </w:r>
            <w:r>
              <w:t xml:space="preserve">prosecutors </w:t>
            </w:r>
            <w:r>
              <w:t xml:space="preserve">may </w:t>
            </w:r>
            <w:r>
              <w:t xml:space="preserve">have unfair advantages over the accused </w:t>
            </w:r>
            <w:r>
              <w:t>when presenting cases to grand juries</w:t>
            </w:r>
            <w:r>
              <w:t>.</w:t>
            </w:r>
            <w:r>
              <w:t xml:space="preserve"> S.B. 1492 seeks to address this issue </w:t>
            </w:r>
            <w:r>
              <w:t>by revising th</w:t>
            </w:r>
            <w:r>
              <w:t>e law relating to grand jury proceedings and establishing a commission to study improvements and alternatives to those proceedings</w:t>
            </w:r>
            <w:r>
              <w:t>.</w:t>
            </w:r>
          </w:p>
          <w:p w:rsidR="008423E4" w:rsidRPr="00E26B13" w:rsidRDefault="00FC6D61">
            <w:pPr>
              <w:rPr>
                <w:b/>
              </w:rPr>
            </w:pPr>
          </w:p>
        </w:tc>
      </w:tr>
      <w:tr w:rsidR="002E7C5F" w:rsidTr="00345119">
        <w:tc>
          <w:tcPr>
            <w:tcW w:w="9576" w:type="dxa"/>
          </w:tcPr>
          <w:p w:rsidR="0017725B" w:rsidRDefault="00FC6D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D61">
            <w:pPr>
              <w:rPr>
                <w:b/>
                <w:u w:val="single"/>
              </w:rPr>
            </w:pPr>
          </w:p>
          <w:p w:rsidR="00746E7C" w:rsidRPr="00746E7C" w:rsidRDefault="00FC6D61" w:rsidP="000433E6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6D61">
            <w:pPr>
              <w:rPr>
                <w:b/>
                <w:u w:val="single"/>
              </w:rPr>
            </w:pPr>
          </w:p>
        </w:tc>
      </w:tr>
      <w:tr w:rsidR="002E7C5F" w:rsidTr="00345119">
        <w:tc>
          <w:tcPr>
            <w:tcW w:w="9576" w:type="dxa"/>
          </w:tcPr>
          <w:p w:rsidR="008423E4" w:rsidRPr="00A8133F" w:rsidRDefault="00FC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D61"/>
          <w:p w:rsidR="00746E7C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</w:t>
            </w:r>
            <w:r>
              <w:t xml:space="preserve">pressly grant any additional rulemaking authority to a state officer, department, agency, or institution. </w:t>
            </w:r>
          </w:p>
          <w:p w:rsidR="008423E4" w:rsidRPr="00E21FDC" w:rsidRDefault="00FC6D61">
            <w:pPr>
              <w:rPr>
                <w:b/>
              </w:rPr>
            </w:pPr>
          </w:p>
        </w:tc>
      </w:tr>
      <w:tr w:rsidR="002E7C5F" w:rsidTr="00345119">
        <w:tc>
          <w:tcPr>
            <w:tcW w:w="9576" w:type="dxa"/>
          </w:tcPr>
          <w:p w:rsidR="008423E4" w:rsidRPr="00A8133F" w:rsidRDefault="00FC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6D61"/>
          <w:p w:rsidR="008551B0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1492 amends the Code of Criminal Procedure to require that questions </w:t>
            </w:r>
            <w:r w:rsidRPr="00AF6DAF">
              <w:t xml:space="preserve">propounded </w:t>
            </w:r>
            <w:r>
              <w:t xml:space="preserve">to a fact witness </w:t>
            </w:r>
            <w:r w:rsidRPr="00AF6DAF">
              <w:t xml:space="preserve">by </w:t>
            </w:r>
            <w:r>
              <w:t>a</w:t>
            </w:r>
            <w:r w:rsidRPr="00AF6DAF">
              <w:t xml:space="preserve"> grand jury or the attorney </w:t>
            </w:r>
            <w:r w:rsidRPr="00AF6DAF">
              <w:t>representing the state</w:t>
            </w:r>
            <w:r>
              <w:t xml:space="preserve"> in a grand jury proceeding</w:t>
            </w:r>
            <w:r>
              <w:t xml:space="preserve"> </w:t>
            </w:r>
            <w:r>
              <w:t xml:space="preserve">and the testimony of the fact witness to the grand jury be </w:t>
            </w:r>
            <w:r w:rsidRPr="00AF6DAF">
              <w:t>recorded either by a stenographer or by use of an electronic device capable of recording sound.</w:t>
            </w:r>
            <w:r>
              <w:t xml:space="preserve"> </w:t>
            </w:r>
            <w:r>
              <w:t xml:space="preserve">The bill defines "fact witness" as a person who is </w:t>
            </w:r>
            <w:r>
              <w:t>testifying regarding the person's personal knowledge of events relating to the case under investigation by the grand jury and excludes from that definition a law enforcement officer who is acting in the lawful discharge of the officer's official duty, is a</w:t>
            </w:r>
            <w:r>
              <w:t>ssisting the attorney representing the state by presenting evidence to the grand jury, and has no person</w:t>
            </w:r>
            <w:r>
              <w:t>al</w:t>
            </w:r>
            <w:r>
              <w:t xml:space="preserve"> knowledge of events relating to the case.</w:t>
            </w:r>
            <w:r>
              <w:t xml:space="preserve"> </w:t>
            </w:r>
          </w:p>
          <w:p w:rsidR="008551B0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6194C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1492</w:t>
            </w:r>
            <w:r>
              <w:t xml:space="preserve"> prohibits a grand jury from investigating a person who </w:t>
            </w:r>
            <w:r w:rsidRPr="00AF6DAF">
              <w:t>is accused or suspected of an offense an</w:t>
            </w:r>
            <w:r w:rsidRPr="00AF6DAF">
              <w:t xml:space="preserve">d </w:t>
            </w:r>
            <w:r>
              <w:t>from voting</w:t>
            </w:r>
            <w:r w:rsidRPr="00AF6DAF">
              <w:t xml:space="preserve"> to present an indictment for the offense if</w:t>
            </w:r>
            <w:r>
              <w:t>:</w:t>
            </w:r>
          </w:p>
          <w:p w:rsidR="00E6194C" w:rsidRDefault="00FC6D61" w:rsidP="000433E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6DAF">
              <w:t>the person has previously been investigated by a grand jury for the same offense</w:t>
            </w:r>
            <w:r>
              <w:t>;</w:t>
            </w:r>
            <w:r w:rsidRPr="00AF6DAF">
              <w:t xml:space="preserve"> </w:t>
            </w:r>
          </w:p>
          <w:p w:rsidR="00E6194C" w:rsidRDefault="00FC6D61" w:rsidP="000433E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6DAF">
              <w:t>that grand jury voted on whether to present an indictment</w:t>
            </w:r>
            <w:r>
              <w:t>;</w:t>
            </w:r>
            <w:r w:rsidRPr="00AF6DAF">
              <w:t xml:space="preserve"> and </w:t>
            </w:r>
          </w:p>
          <w:p w:rsidR="00E6194C" w:rsidRDefault="00FC6D61" w:rsidP="000433E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F6DAF">
              <w:t xml:space="preserve">fewer than nine grand jurors concurred in finding </w:t>
            </w:r>
            <w:r w:rsidRPr="00AF6DAF">
              <w:t>the bill.</w:t>
            </w:r>
            <w:r>
              <w:t xml:space="preserve"> </w:t>
            </w:r>
          </w:p>
          <w:p w:rsidR="008423E4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>creates an exception to th</w:t>
            </w:r>
            <w:r>
              <w:t>e</w:t>
            </w:r>
            <w:r>
              <w:t xml:space="preserve"> prohibition </w:t>
            </w:r>
            <w:r>
              <w:t>for</w:t>
            </w:r>
            <w:r>
              <w:t xml:space="preserve"> </w:t>
            </w:r>
            <w:r>
              <w:t xml:space="preserve">a </w:t>
            </w:r>
            <w:r>
              <w:t xml:space="preserve">proceeding </w:t>
            </w:r>
            <w:r>
              <w:t xml:space="preserve">in which </w:t>
            </w:r>
            <w:r w:rsidRPr="00AF6DAF">
              <w:t>the attorney representing the state presents to the grand jury material evidence that was not known to the applicable attorney representing the state before or during the</w:t>
            </w:r>
            <w:r w:rsidRPr="00AF6DAF">
              <w:t xml:space="preserve"> previous grand jury investigation.</w:t>
            </w:r>
          </w:p>
          <w:p w:rsidR="00AF6DAF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F6DAF" w:rsidRDefault="00FC6D61" w:rsidP="000433E6">
            <w:pPr>
              <w:pStyle w:val="Header"/>
              <w:jc w:val="both"/>
            </w:pPr>
            <w:r>
              <w:t xml:space="preserve">S.B. 1492 establishes the </w:t>
            </w:r>
            <w:r w:rsidRPr="00AF6DAF">
              <w:t>Texas Commission on Grand Juries</w:t>
            </w:r>
            <w:r>
              <w:t xml:space="preserve"> to </w:t>
            </w:r>
            <w:r w:rsidRPr="00AF6DAF">
              <w:t>develop recommendations for improvements to the grand jury system and explore alternative procedures for establishing probable cause to proceed to trial in a</w:t>
            </w:r>
            <w:r w:rsidRPr="00AF6DAF">
              <w:t xml:space="preserve"> felony case.</w:t>
            </w:r>
            <w:r>
              <w:t xml:space="preserve"> The bill sets out the composition of the </w:t>
            </w:r>
            <w:r>
              <w:t>11</w:t>
            </w:r>
            <w:r>
              <w:noBreakHyphen/>
            </w:r>
            <w:r>
              <w:t xml:space="preserve">member </w:t>
            </w:r>
            <w:r>
              <w:t xml:space="preserve">commission </w:t>
            </w:r>
            <w:r>
              <w:t xml:space="preserve">and requires the governor to designate the </w:t>
            </w:r>
            <w:r>
              <w:t xml:space="preserve">commission's </w:t>
            </w:r>
            <w:r>
              <w:t xml:space="preserve">presiding officer. </w:t>
            </w:r>
            <w:r>
              <w:t>A</w:t>
            </w:r>
            <w:r>
              <w:t xml:space="preserve"> member of the commission </w:t>
            </w:r>
            <w:r>
              <w:t xml:space="preserve">is not entitled </w:t>
            </w:r>
            <w:r>
              <w:t xml:space="preserve">to </w:t>
            </w:r>
            <w:r>
              <w:t>c</w:t>
            </w:r>
            <w:r w:rsidRPr="00AF6DAF">
              <w:t>ompensation or reimbursement of expenses.</w:t>
            </w:r>
            <w:r>
              <w:t xml:space="preserve"> The bill requires the commission, not later than December 1, 2020, to prepare and deliver to the governor and the legislature a report that recommends improvements to the grand jury system, including the identification of any statutory changes necessary f</w:t>
            </w:r>
            <w:r>
              <w:t>or that purpose</w:t>
            </w:r>
            <w:r>
              <w:t>,</w:t>
            </w:r>
            <w:r>
              <w:t xml:space="preserve"> and alternative procedures for establishing probable cause to proceed to trial in a felony case.</w:t>
            </w:r>
            <w:r w:rsidRPr="00384FF8">
              <w:t xml:space="preserve"> The </w:t>
            </w:r>
            <w:r>
              <w:t xml:space="preserve">bill abolishes the commission on </w:t>
            </w:r>
            <w:r w:rsidRPr="00384FF8">
              <w:t>January 12, 2021.</w:t>
            </w:r>
            <w:r>
              <w:t xml:space="preserve">  </w:t>
            </w:r>
          </w:p>
          <w:p w:rsidR="008423E4" w:rsidRPr="00835628" w:rsidRDefault="00FC6D61">
            <w:pPr>
              <w:rPr>
                <w:b/>
              </w:rPr>
            </w:pPr>
          </w:p>
        </w:tc>
      </w:tr>
      <w:tr w:rsidR="002E7C5F" w:rsidTr="00345119">
        <w:tc>
          <w:tcPr>
            <w:tcW w:w="9576" w:type="dxa"/>
          </w:tcPr>
          <w:p w:rsidR="008423E4" w:rsidRPr="00A8133F" w:rsidRDefault="00FC6D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6D61"/>
          <w:p w:rsidR="008423E4" w:rsidRPr="003624F2" w:rsidRDefault="00FC6D61" w:rsidP="00043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6E7C">
              <w:t>September 1, 2019.</w:t>
            </w:r>
          </w:p>
          <w:p w:rsidR="008423E4" w:rsidRPr="00233FDB" w:rsidRDefault="00FC6D61">
            <w:pPr>
              <w:rPr>
                <w:b/>
              </w:rPr>
            </w:pPr>
          </w:p>
        </w:tc>
      </w:tr>
    </w:tbl>
    <w:p w:rsidR="008423E4" w:rsidRPr="00BE0E75" w:rsidRDefault="00FC6D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6D6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D61">
      <w:r>
        <w:separator/>
      </w:r>
    </w:p>
  </w:endnote>
  <w:endnote w:type="continuationSeparator" w:id="0">
    <w:p w:rsidR="00000000" w:rsidRDefault="00FC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7C5F" w:rsidTr="009C1E9A">
      <w:trPr>
        <w:cantSplit/>
      </w:trPr>
      <w:tc>
        <w:tcPr>
          <w:tcW w:w="0" w:type="pct"/>
        </w:tcPr>
        <w:p w:rsidR="00137D90" w:rsidRDefault="00FC6D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D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6D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6D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D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7C5F" w:rsidTr="009C1E9A">
      <w:trPr>
        <w:cantSplit/>
      </w:trPr>
      <w:tc>
        <w:tcPr>
          <w:tcW w:w="0" w:type="pct"/>
        </w:tcPr>
        <w:p w:rsidR="00EC379B" w:rsidRDefault="00FC6D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D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34891</w:t>
          </w:r>
        </w:p>
      </w:tc>
      <w:tc>
        <w:tcPr>
          <w:tcW w:w="2453" w:type="pct"/>
        </w:tcPr>
        <w:p w:rsidR="00EC379B" w:rsidRDefault="00FC6D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19.136.1262</w:t>
          </w:r>
          <w:r>
            <w:fldChar w:fldCharType="end"/>
          </w:r>
        </w:p>
      </w:tc>
    </w:tr>
    <w:tr w:rsidR="002E7C5F" w:rsidTr="009C1E9A">
      <w:trPr>
        <w:cantSplit/>
      </w:trPr>
      <w:tc>
        <w:tcPr>
          <w:tcW w:w="0" w:type="pct"/>
        </w:tcPr>
        <w:p w:rsidR="00EC379B" w:rsidRDefault="00FC6D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D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6D61" w:rsidP="006D504F">
          <w:pPr>
            <w:pStyle w:val="Footer"/>
            <w:rPr>
              <w:rStyle w:val="PageNumber"/>
            </w:rPr>
          </w:pPr>
        </w:p>
        <w:p w:rsidR="00EC379B" w:rsidRDefault="00FC6D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7C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D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D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D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D61">
      <w:r>
        <w:separator/>
      </w:r>
    </w:p>
  </w:footnote>
  <w:footnote w:type="continuationSeparator" w:id="0">
    <w:p w:rsidR="00000000" w:rsidRDefault="00FC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878AD"/>
    <w:multiLevelType w:val="hybridMultilevel"/>
    <w:tmpl w:val="B4E09DAE"/>
    <w:lvl w:ilvl="0" w:tplc="42B6A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6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25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E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CF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EA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7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2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F"/>
    <w:rsid w:val="002E7C5F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0BFD1-AD3A-4BA3-B230-0ED226B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6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D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2932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SB01492 (Committee Report (Unamended))</vt:lpstr>
    </vt:vector>
  </TitlesOfParts>
  <Company>State of Texas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34891</dc:subject>
  <dc:creator>State of Texas</dc:creator>
  <dc:description>SB 1492 by Whitmire-(H)Criminal Jurisprudence</dc:description>
  <cp:lastModifiedBy>Laura Ramsay</cp:lastModifiedBy>
  <cp:revision>2</cp:revision>
  <cp:lastPrinted>2003-11-26T17:21:00Z</cp:lastPrinted>
  <dcterms:created xsi:type="dcterms:W3CDTF">2019-05-18T03:33:00Z</dcterms:created>
  <dcterms:modified xsi:type="dcterms:W3CDTF">2019-05-18T03:33:00Z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19.136.1262</vt:lpwstr>
  </property>
</Properties>
</file>