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A24F7" w:rsidTr="00345119">
        <w:tc>
          <w:tcPr>
            <w:tcW w:w="9576" w:type="dxa"/>
            <w:noWrap/>
          </w:tcPr>
          <w:p w:rsidR="008423E4" w:rsidRPr="0022177D" w:rsidRDefault="004226D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226D2" w:rsidP="008423E4">
      <w:pPr>
        <w:jc w:val="center"/>
      </w:pPr>
    </w:p>
    <w:p w:rsidR="008423E4" w:rsidRPr="00B31F0E" w:rsidRDefault="004226D2" w:rsidP="008423E4"/>
    <w:p w:rsidR="008423E4" w:rsidRPr="00742794" w:rsidRDefault="004226D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A24F7" w:rsidTr="00345119">
        <w:tc>
          <w:tcPr>
            <w:tcW w:w="9576" w:type="dxa"/>
          </w:tcPr>
          <w:p w:rsidR="008423E4" w:rsidRPr="00861995" w:rsidRDefault="004226D2" w:rsidP="00345119">
            <w:pPr>
              <w:jc w:val="right"/>
            </w:pPr>
            <w:r>
              <w:t>C.S.S.B. 1497</w:t>
            </w:r>
          </w:p>
        </w:tc>
      </w:tr>
      <w:tr w:rsidR="000A24F7" w:rsidTr="00345119">
        <w:tc>
          <w:tcPr>
            <w:tcW w:w="9576" w:type="dxa"/>
          </w:tcPr>
          <w:p w:rsidR="008423E4" w:rsidRPr="00861995" w:rsidRDefault="004226D2" w:rsidP="00BB050C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0A24F7" w:rsidTr="00345119">
        <w:tc>
          <w:tcPr>
            <w:tcW w:w="9576" w:type="dxa"/>
          </w:tcPr>
          <w:p w:rsidR="008423E4" w:rsidRPr="00861995" w:rsidRDefault="004226D2" w:rsidP="00345119">
            <w:pPr>
              <w:jc w:val="right"/>
            </w:pPr>
            <w:r>
              <w:t>State Affairs</w:t>
            </w:r>
          </w:p>
        </w:tc>
      </w:tr>
      <w:tr w:rsidR="000A24F7" w:rsidTr="00345119">
        <w:tc>
          <w:tcPr>
            <w:tcW w:w="9576" w:type="dxa"/>
          </w:tcPr>
          <w:p w:rsidR="008423E4" w:rsidRDefault="004226D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226D2" w:rsidP="008423E4">
      <w:pPr>
        <w:tabs>
          <w:tab w:val="right" w:pos="9360"/>
        </w:tabs>
      </w:pPr>
    </w:p>
    <w:p w:rsidR="008423E4" w:rsidRDefault="004226D2" w:rsidP="008423E4"/>
    <w:p w:rsidR="008423E4" w:rsidRDefault="004226D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A24F7" w:rsidTr="00345119">
        <w:tc>
          <w:tcPr>
            <w:tcW w:w="9576" w:type="dxa"/>
          </w:tcPr>
          <w:p w:rsidR="008423E4" w:rsidRPr="00A8133F" w:rsidRDefault="004226D2" w:rsidP="00F63C7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226D2" w:rsidP="00F63C70"/>
          <w:p w:rsidR="00781B7D" w:rsidRDefault="004226D2" w:rsidP="00F63C70">
            <w:pPr>
              <w:pStyle w:val="Header"/>
              <w:jc w:val="both"/>
            </w:pPr>
            <w:r>
              <w:t xml:space="preserve">As the competitive retail electric market has matured </w:t>
            </w:r>
            <w:r>
              <w:t>in recent years</w:t>
            </w:r>
            <w:r>
              <w:t>, new entities are taking part in the market and</w:t>
            </w:r>
            <w:r>
              <w:t xml:space="preserve"> providing brokerage services to retail customers. While these entities contract with customers to gain access to customer data, they are not required to register with the Public Utility Commission </w:t>
            </w:r>
            <w:r>
              <w:t xml:space="preserve">of Texas, which </w:t>
            </w:r>
            <w:r>
              <w:t>leaves</w:t>
            </w:r>
            <w:r>
              <w:t xml:space="preserve"> the state little recourse when seek</w:t>
            </w:r>
            <w:r>
              <w:t xml:space="preserve">ing to </w:t>
            </w:r>
            <w:r>
              <w:t>address customer complaints and bring continuity to the market</w:t>
            </w:r>
            <w:r>
              <w:t xml:space="preserve">. </w:t>
            </w:r>
            <w:r>
              <w:t>C.S.S.B. 1497</w:t>
            </w:r>
            <w:r>
              <w:t xml:space="preserve"> seeks to address this issue by providing for the registration of retail electric brokers.</w:t>
            </w:r>
          </w:p>
          <w:p w:rsidR="008423E4" w:rsidRPr="00E26B13" w:rsidRDefault="004226D2" w:rsidP="00F63C70">
            <w:pPr>
              <w:pStyle w:val="Header"/>
              <w:jc w:val="both"/>
              <w:rPr>
                <w:b/>
              </w:rPr>
            </w:pPr>
          </w:p>
        </w:tc>
      </w:tr>
      <w:tr w:rsidR="000A24F7" w:rsidTr="00345119">
        <w:tc>
          <w:tcPr>
            <w:tcW w:w="9576" w:type="dxa"/>
          </w:tcPr>
          <w:p w:rsidR="0017725B" w:rsidRDefault="004226D2" w:rsidP="00F63C7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226D2" w:rsidP="00F63C70">
            <w:pPr>
              <w:rPr>
                <w:b/>
                <w:u w:val="single"/>
              </w:rPr>
            </w:pPr>
          </w:p>
          <w:p w:rsidR="0095081C" w:rsidRPr="0095081C" w:rsidRDefault="004226D2" w:rsidP="00F63C70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226D2" w:rsidP="00F63C70">
            <w:pPr>
              <w:rPr>
                <w:b/>
                <w:u w:val="single"/>
              </w:rPr>
            </w:pPr>
          </w:p>
        </w:tc>
      </w:tr>
      <w:tr w:rsidR="000A24F7" w:rsidTr="00345119">
        <w:tc>
          <w:tcPr>
            <w:tcW w:w="9576" w:type="dxa"/>
          </w:tcPr>
          <w:p w:rsidR="008423E4" w:rsidRPr="00A8133F" w:rsidRDefault="004226D2" w:rsidP="00F63C7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226D2" w:rsidP="00F63C70"/>
          <w:p w:rsidR="0095081C" w:rsidRDefault="004226D2" w:rsidP="00F63C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95081C">
              <w:t>Public Utility Commission of Texas</w:t>
            </w:r>
            <w:r>
              <w:t xml:space="preserve"> in SECTION 1 of this bill.</w:t>
            </w:r>
          </w:p>
          <w:p w:rsidR="008423E4" w:rsidRPr="00E21FDC" w:rsidRDefault="004226D2" w:rsidP="00F63C70">
            <w:pPr>
              <w:rPr>
                <w:b/>
              </w:rPr>
            </w:pPr>
          </w:p>
        </w:tc>
      </w:tr>
      <w:tr w:rsidR="000A24F7" w:rsidTr="00345119">
        <w:tc>
          <w:tcPr>
            <w:tcW w:w="9576" w:type="dxa"/>
          </w:tcPr>
          <w:p w:rsidR="008423E4" w:rsidRPr="00A8133F" w:rsidRDefault="004226D2" w:rsidP="00F63C7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226D2" w:rsidP="00F63C70"/>
          <w:p w:rsidR="00405EAA" w:rsidRDefault="004226D2" w:rsidP="00F63C70">
            <w:pPr>
              <w:pStyle w:val="Header"/>
              <w:jc w:val="both"/>
            </w:pPr>
            <w:r>
              <w:t>C.S.S.B. 1497</w:t>
            </w:r>
            <w:r>
              <w:t xml:space="preserve"> amends the Utilities Code to prohibit a person from providing </w:t>
            </w:r>
            <w:r>
              <w:t xml:space="preserve">retail electric </w:t>
            </w:r>
            <w:r w:rsidRPr="00DF788D">
              <w:t>brokerage services</w:t>
            </w:r>
            <w:r>
              <w:t>, including brokerage services offered online,</w:t>
            </w:r>
            <w:r w:rsidRPr="00DF788D">
              <w:t xml:space="preserve"> </w:t>
            </w:r>
            <w:r w:rsidRPr="00DF788D">
              <w:t xml:space="preserve">in </w:t>
            </w:r>
            <w:r>
              <w:t>Texas</w:t>
            </w:r>
            <w:r w:rsidRPr="00DF788D">
              <w:t xml:space="preserve"> for compensation or other consideration unless the person is registered with </w:t>
            </w:r>
            <w:r>
              <w:t>the Public Utility Commission of Texas (PUC)</w:t>
            </w:r>
            <w:r w:rsidRPr="00DF788D">
              <w:t xml:space="preserve"> as a broker.</w:t>
            </w:r>
            <w:r>
              <w:t xml:space="preserve"> The </w:t>
            </w:r>
            <w:r>
              <w:t xml:space="preserve">bill </w:t>
            </w:r>
            <w:r>
              <w:t>prohibits</w:t>
            </w:r>
            <w:r>
              <w:t xml:space="preserve"> a retail electric provider </w:t>
            </w:r>
            <w:r>
              <w:t>f</w:t>
            </w:r>
            <w:r>
              <w:t>rom registering as</w:t>
            </w:r>
            <w:r>
              <w:t xml:space="preserve"> a broker </w:t>
            </w:r>
            <w:r>
              <w:t>or</w:t>
            </w:r>
            <w:r>
              <w:t xml:space="preserve"> knowingly providing bids or offers to </w:t>
            </w:r>
            <w:r>
              <w:t>a person who provides brokerages services in Texas for compensation or other consideration and has not registered with the PUC as a</w:t>
            </w:r>
            <w:r>
              <w:t xml:space="preserve"> broker. The bill prohibits a broker from selling or tak</w:t>
            </w:r>
            <w:r>
              <w:t xml:space="preserve">ing title to electric energy. </w:t>
            </w:r>
          </w:p>
          <w:p w:rsidR="00405EAA" w:rsidRDefault="004226D2" w:rsidP="00F63C70">
            <w:pPr>
              <w:pStyle w:val="Header"/>
              <w:jc w:val="both"/>
            </w:pPr>
          </w:p>
          <w:p w:rsidR="00405EAA" w:rsidRDefault="004226D2" w:rsidP="00F63C70">
            <w:pPr>
              <w:pStyle w:val="Header"/>
              <w:jc w:val="both"/>
            </w:pPr>
            <w:r>
              <w:t xml:space="preserve">C.S.S.B. 1497 </w:t>
            </w:r>
            <w:r>
              <w:t xml:space="preserve">requires a person who registers </w:t>
            </w:r>
            <w:r>
              <w:t>as a broker</w:t>
            </w:r>
            <w:r>
              <w:t xml:space="preserve"> to comply with </w:t>
            </w:r>
            <w:r w:rsidRPr="00DF788D">
              <w:t xml:space="preserve">customer protection provisions, disclosure requirements, and marketing guidelines established by the </w:t>
            </w:r>
            <w:r>
              <w:t xml:space="preserve">PUC and </w:t>
            </w:r>
            <w:r>
              <w:t xml:space="preserve">by </w:t>
            </w:r>
            <w:r>
              <w:t>statutory provisions relating to restru</w:t>
            </w:r>
            <w:r>
              <w:t>cturing of the electric utility industry and to utility customer protections</w:t>
            </w:r>
            <w:r>
              <w:t>.</w:t>
            </w:r>
            <w:r>
              <w:t xml:space="preserve"> The bill requires the PUC</w:t>
            </w:r>
            <w:r>
              <w:t>:</w:t>
            </w:r>
          </w:p>
          <w:p w:rsidR="00405EAA" w:rsidRDefault="004226D2" w:rsidP="00F63C7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to process a person's application for </w:t>
            </w:r>
            <w:r w:rsidRPr="0095081C">
              <w:t>registration as a broker not later than the 60th day after the date the person files the application</w:t>
            </w:r>
            <w:r>
              <w:t>; and</w:t>
            </w:r>
          </w:p>
          <w:p w:rsidR="008423E4" w:rsidRDefault="004226D2" w:rsidP="00F63C7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to adop</w:t>
            </w:r>
            <w:r>
              <w:t>t rules as necessary to implement the bill's provisions</w:t>
            </w:r>
            <w:r>
              <w:t>.</w:t>
            </w:r>
            <w:r>
              <w:t xml:space="preserve"> </w:t>
            </w:r>
          </w:p>
          <w:p w:rsidR="008423E4" w:rsidRPr="00835628" w:rsidRDefault="004226D2" w:rsidP="00F63C70">
            <w:pPr>
              <w:rPr>
                <w:b/>
              </w:rPr>
            </w:pPr>
          </w:p>
        </w:tc>
      </w:tr>
      <w:tr w:rsidR="000A24F7" w:rsidTr="00345119">
        <w:tc>
          <w:tcPr>
            <w:tcW w:w="9576" w:type="dxa"/>
          </w:tcPr>
          <w:p w:rsidR="008423E4" w:rsidRPr="00A8133F" w:rsidRDefault="004226D2" w:rsidP="00F63C7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3966E2" w:rsidRDefault="004226D2" w:rsidP="00F63C70">
            <w:pPr>
              <w:rPr>
                <w:sz w:val="20"/>
              </w:rPr>
            </w:pPr>
          </w:p>
          <w:p w:rsidR="008423E4" w:rsidRPr="003624F2" w:rsidRDefault="004226D2" w:rsidP="00F63C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3966E2" w:rsidRDefault="004226D2" w:rsidP="00F63C70">
            <w:pPr>
              <w:rPr>
                <w:b/>
                <w:sz w:val="20"/>
              </w:rPr>
            </w:pPr>
          </w:p>
        </w:tc>
      </w:tr>
      <w:tr w:rsidR="000A24F7" w:rsidTr="00345119">
        <w:tc>
          <w:tcPr>
            <w:tcW w:w="9576" w:type="dxa"/>
          </w:tcPr>
          <w:p w:rsidR="00BB050C" w:rsidRDefault="004226D2" w:rsidP="00BB050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5E681B" w:rsidRDefault="004226D2" w:rsidP="00BB050C">
            <w:pPr>
              <w:jc w:val="both"/>
              <w:rPr>
                <w:b/>
                <w:u w:val="single"/>
              </w:rPr>
            </w:pPr>
          </w:p>
          <w:p w:rsidR="00907271" w:rsidRDefault="004226D2" w:rsidP="00907271">
            <w:pPr>
              <w:jc w:val="both"/>
            </w:pPr>
            <w:r>
              <w:t>While C.S.S.B. 1497 may differ from the engrossed in minor or nonsubstantive ways, the following summarizes the</w:t>
            </w:r>
            <w:r>
              <w:t xml:space="preserve"> substantial differences between the engrossed and committee substitute versions of the bill.</w:t>
            </w:r>
          </w:p>
          <w:p w:rsidR="00907271" w:rsidRDefault="004226D2" w:rsidP="00907271">
            <w:pPr>
              <w:jc w:val="both"/>
            </w:pPr>
          </w:p>
          <w:p w:rsidR="00907271" w:rsidRDefault="004226D2" w:rsidP="00907271">
            <w:pPr>
              <w:jc w:val="both"/>
            </w:pPr>
            <w:r>
              <w:t xml:space="preserve">The substitute does not include in the definition of "brokerage services" </w:t>
            </w:r>
            <w:r w:rsidRPr="008C1B6B">
              <w:t>selling or attempting to sell a product or service offered by a retail electric provide</w:t>
            </w:r>
            <w:r w:rsidRPr="008C1B6B">
              <w:t>r to a retail electric customer</w:t>
            </w:r>
            <w:r>
              <w:t>.</w:t>
            </w:r>
          </w:p>
          <w:p w:rsidR="00907271" w:rsidRDefault="004226D2" w:rsidP="00907271">
            <w:pPr>
              <w:jc w:val="both"/>
            </w:pPr>
          </w:p>
          <w:p w:rsidR="00907271" w:rsidRPr="00BB050C" w:rsidRDefault="004226D2" w:rsidP="0072395E">
            <w:pPr>
              <w:jc w:val="both"/>
              <w:rPr>
                <w:b/>
                <w:u w:val="single"/>
              </w:rPr>
            </w:pPr>
            <w:r>
              <w:t xml:space="preserve">The substitute </w:t>
            </w:r>
            <w:r>
              <w:t xml:space="preserve">specifies </w:t>
            </w:r>
            <w:r>
              <w:t xml:space="preserve">the </w:t>
            </w:r>
            <w:r>
              <w:t xml:space="preserve">applicability of </w:t>
            </w:r>
            <w:r>
              <w:t>customer protection provisions, disclosure requirements, and marketing guidelines with which a person who registers as a broker is required to comply by including compliance wi</w:t>
            </w:r>
            <w:r>
              <w:t>th statutory provisions relating to restructuring of the electric utility industry and to utility customer protections.</w:t>
            </w:r>
          </w:p>
        </w:tc>
      </w:tr>
    </w:tbl>
    <w:p w:rsidR="008423E4" w:rsidRPr="00BE0E75" w:rsidRDefault="004226D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226D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26D2">
      <w:r>
        <w:separator/>
      </w:r>
    </w:p>
  </w:endnote>
  <w:endnote w:type="continuationSeparator" w:id="0">
    <w:p w:rsidR="00000000" w:rsidRDefault="004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66" w:rsidRDefault="00422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A24F7" w:rsidTr="009C1E9A">
      <w:trPr>
        <w:cantSplit/>
      </w:trPr>
      <w:tc>
        <w:tcPr>
          <w:tcW w:w="0" w:type="pct"/>
        </w:tcPr>
        <w:p w:rsidR="00137D90" w:rsidRDefault="004226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226D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226D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226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226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A24F7" w:rsidTr="009C1E9A">
      <w:trPr>
        <w:cantSplit/>
      </w:trPr>
      <w:tc>
        <w:tcPr>
          <w:tcW w:w="0" w:type="pct"/>
        </w:tcPr>
        <w:p w:rsidR="00EC379B" w:rsidRDefault="004226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226D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30981</w:t>
          </w:r>
        </w:p>
      </w:tc>
      <w:tc>
        <w:tcPr>
          <w:tcW w:w="2453" w:type="pct"/>
        </w:tcPr>
        <w:p w:rsidR="00EC379B" w:rsidRDefault="004226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19.120.1253</w:t>
          </w:r>
          <w:r>
            <w:fldChar w:fldCharType="end"/>
          </w:r>
        </w:p>
      </w:tc>
    </w:tr>
    <w:tr w:rsidR="000A24F7" w:rsidTr="009C1E9A">
      <w:trPr>
        <w:cantSplit/>
      </w:trPr>
      <w:tc>
        <w:tcPr>
          <w:tcW w:w="0" w:type="pct"/>
        </w:tcPr>
        <w:p w:rsidR="00EC379B" w:rsidRDefault="004226D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226D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25984</w:t>
          </w:r>
        </w:p>
      </w:tc>
      <w:tc>
        <w:tcPr>
          <w:tcW w:w="2453" w:type="pct"/>
        </w:tcPr>
        <w:p w:rsidR="00EC379B" w:rsidRDefault="004226D2" w:rsidP="006D504F">
          <w:pPr>
            <w:pStyle w:val="Footer"/>
            <w:rPr>
              <w:rStyle w:val="PageNumber"/>
            </w:rPr>
          </w:pPr>
        </w:p>
        <w:p w:rsidR="00EC379B" w:rsidRDefault="004226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A24F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226D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226D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226D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66" w:rsidRDefault="00422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26D2">
      <w:r>
        <w:separator/>
      </w:r>
    </w:p>
  </w:footnote>
  <w:footnote w:type="continuationSeparator" w:id="0">
    <w:p w:rsidR="00000000" w:rsidRDefault="004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66" w:rsidRDefault="00422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66" w:rsidRDefault="004226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66" w:rsidRDefault="00422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5D0E"/>
    <w:multiLevelType w:val="hybridMultilevel"/>
    <w:tmpl w:val="546892C8"/>
    <w:lvl w:ilvl="0" w:tplc="7954F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89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7A1C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E48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AA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2CE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E8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2F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0C2C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F7"/>
    <w:rsid w:val="000A24F7"/>
    <w:rsid w:val="0042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A62B4F-A3CE-4506-BCAB-607AB726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F78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78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78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7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788D"/>
    <w:rPr>
      <w:b/>
      <w:bCs/>
    </w:rPr>
  </w:style>
  <w:style w:type="character" w:styleId="Hyperlink">
    <w:name w:val="Hyperlink"/>
    <w:basedOn w:val="DefaultParagraphFont"/>
    <w:unhideWhenUsed/>
    <w:rsid w:val="00D53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12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2656</Characters>
  <Application>Microsoft Office Word</Application>
  <DocSecurity>4</DocSecurity>
  <Lines>67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SB01497 (Committee Report (Substituted))</vt:lpstr>
    </vt:vector>
  </TitlesOfParts>
  <Company>State of Texas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30981</dc:subject>
  <dc:creator>State of Texas</dc:creator>
  <dc:description>SB 1497 by Zaffirini-(H)State Affairs (Substitute Document Number: 86R 25984)</dc:description>
  <cp:lastModifiedBy>Erin Conway</cp:lastModifiedBy>
  <cp:revision>2</cp:revision>
  <cp:lastPrinted>2003-11-26T17:21:00Z</cp:lastPrinted>
  <dcterms:created xsi:type="dcterms:W3CDTF">2019-05-02T19:15:00Z</dcterms:created>
  <dcterms:modified xsi:type="dcterms:W3CDTF">2019-05-02T19:15:00Z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19.120.1253</vt:lpwstr>
  </property>
</Properties>
</file>