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B5E95" w:rsidTr="00345119">
        <w:tc>
          <w:tcPr>
            <w:tcW w:w="9576" w:type="dxa"/>
            <w:noWrap/>
          </w:tcPr>
          <w:p w:rsidR="008423E4" w:rsidRPr="0022177D" w:rsidRDefault="000166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66A6" w:rsidP="008423E4">
      <w:pPr>
        <w:jc w:val="center"/>
      </w:pPr>
    </w:p>
    <w:p w:rsidR="008423E4" w:rsidRPr="00C1118A" w:rsidRDefault="000166A6" w:rsidP="008423E4">
      <w:pPr>
        <w:rPr>
          <w:sz w:val="2"/>
        </w:rPr>
      </w:pPr>
    </w:p>
    <w:p w:rsidR="008423E4" w:rsidRPr="00742794" w:rsidRDefault="000166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5E95" w:rsidTr="00345119">
        <w:tc>
          <w:tcPr>
            <w:tcW w:w="9576" w:type="dxa"/>
          </w:tcPr>
          <w:p w:rsidR="008423E4" w:rsidRPr="00861995" w:rsidRDefault="000166A6" w:rsidP="00345119">
            <w:pPr>
              <w:jc w:val="right"/>
            </w:pPr>
            <w:r>
              <w:t>S.B. 1511</w:t>
            </w:r>
          </w:p>
        </w:tc>
      </w:tr>
      <w:tr w:rsidR="002B5E95" w:rsidTr="00345119">
        <w:tc>
          <w:tcPr>
            <w:tcW w:w="9576" w:type="dxa"/>
          </w:tcPr>
          <w:p w:rsidR="008423E4" w:rsidRPr="00861995" w:rsidRDefault="000166A6" w:rsidP="00345119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2B5E95" w:rsidTr="00345119">
        <w:tc>
          <w:tcPr>
            <w:tcW w:w="9576" w:type="dxa"/>
          </w:tcPr>
          <w:p w:rsidR="008423E4" w:rsidRPr="00861995" w:rsidRDefault="000166A6" w:rsidP="00345119">
            <w:pPr>
              <w:jc w:val="right"/>
            </w:pPr>
            <w:r>
              <w:t>Culture, Recreation &amp; Tourism</w:t>
            </w:r>
          </w:p>
        </w:tc>
      </w:tr>
      <w:tr w:rsidR="002B5E95" w:rsidTr="00345119">
        <w:tc>
          <w:tcPr>
            <w:tcW w:w="9576" w:type="dxa"/>
          </w:tcPr>
          <w:p w:rsidR="008423E4" w:rsidRDefault="000166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66A6" w:rsidP="008423E4">
      <w:pPr>
        <w:tabs>
          <w:tab w:val="right" w:pos="9360"/>
        </w:tabs>
      </w:pPr>
    </w:p>
    <w:p w:rsidR="008423E4" w:rsidRPr="00C1118A" w:rsidRDefault="000166A6" w:rsidP="008423E4">
      <w:pPr>
        <w:rPr>
          <w:sz w:val="10"/>
        </w:rPr>
      </w:pPr>
    </w:p>
    <w:p w:rsidR="008423E4" w:rsidRDefault="000166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B5E95" w:rsidTr="00345119">
        <w:tc>
          <w:tcPr>
            <w:tcW w:w="9576" w:type="dxa"/>
          </w:tcPr>
          <w:p w:rsidR="008423E4" w:rsidRPr="00A8133F" w:rsidRDefault="000166A6" w:rsidP="00C111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66A6" w:rsidP="00C1118A"/>
          <w:p w:rsidR="008423E4" w:rsidRDefault="000166A6" w:rsidP="00C111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Battleship "Texas" is the only remaining battleship to have fought in both World War I and World War II and that it is a priceless historical asset that many generations of Texans have grown up visiting. </w:t>
            </w:r>
            <w:r>
              <w:t>However, c</w:t>
            </w:r>
            <w:r>
              <w:t>oncerns have be</w:t>
            </w:r>
            <w:r>
              <w:t>en raised that the battleship's current condition</w:t>
            </w:r>
            <w:r>
              <w:t>s</w:t>
            </w:r>
            <w:r>
              <w:t xml:space="preserve">, which include rust and water inundation, have become a challenge for the state and the </w:t>
            </w:r>
            <w:r w:rsidRPr="00E074B4">
              <w:t>Parks and Wildlife Department</w:t>
            </w:r>
            <w:r>
              <w:t xml:space="preserve"> </w:t>
            </w:r>
            <w:r w:rsidRPr="00615AEB">
              <w:t>(TPWD)</w:t>
            </w:r>
            <w:r>
              <w:t xml:space="preserve"> to adequately address</w:t>
            </w:r>
            <w:r>
              <w:t xml:space="preserve">. Thus, </w:t>
            </w:r>
            <w:r>
              <w:t>it has been suggested that the best course of actio</w:t>
            </w:r>
            <w:r>
              <w:t xml:space="preserve">n for the future preservation of the battleship is for a nonprofit </w:t>
            </w:r>
            <w:r w:rsidRPr="00E074B4">
              <w:t xml:space="preserve">foundation </w:t>
            </w:r>
            <w:r>
              <w:t>to take over</w:t>
            </w:r>
            <w:r w:rsidRPr="00E074B4">
              <w:t xml:space="preserve"> the</w:t>
            </w:r>
            <w:r>
              <w:t xml:space="preserve"> battleship's</w:t>
            </w:r>
            <w:r w:rsidRPr="00E074B4">
              <w:t xml:space="preserve"> operation and maintenance</w:t>
            </w:r>
            <w:r>
              <w:t xml:space="preserve">. </w:t>
            </w:r>
            <w:r>
              <w:t xml:space="preserve">S.B. 1511 </w:t>
            </w:r>
            <w:r>
              <w:t xml:space="preserve">seeks to address these issues by requiring TPWD to </w:t>
            </w:r>
            <w:r w:rsidRPr="00615AEB">
              <w:t>enter into a</w:t>
            </w:r>
            <w:r>
              <w:t xml:space="preserve"> certain</w:t>
            </w:r>
            <w:r w:rsidRPr="00615AEB">
              <w:t xml:space="preserve"> memorandum of understanding </w:t>
            </w:r>
            <w:r>
              <w:t>with a</w:t>
            </w:r>
            <w:r w:rsidRPr="00615AEB">
              <w:t>n app</w:t>
            </w:r>
            <w:r w:rsidRPr="00615AEB">
              <w:t xml:space="preserve">ropriate nonprofit foundation for </w:t>
            </w:r>
            <w:r>
              <w:t>such</w:t>
            </w:r>
            <w:r w:rsidRPr="00615AEB">
              <w:t xml:space="preserve"> operation and mainte</w:t>
            </w:r>
            <w:r>
              <w:t>nance.</w:t>
            </w:r>
          </w:p>
          <w:p w:rsidR="008423E4" w:rsidRPr="00E26B13" w:rsidRDefault="000166A6" w:rsidP="00C1118A">
            <w:pPr>
              <w:rPr>
                <w:b/>
              </w:rPr>
            </w:pPr>
          </w:p>
        </w:tc>
      </w:tr>
      <w:tr w:rsidR="002B5E95" w:rsidTr="00345119">
        <w:tc>
          <w:tcPr>
            <w:tcW w:w="9576" w:type="dxa"/>
          </w:tcPr>
          <w:p w:rsidR="0017725B" w:rsidRDefault="000166A6" w:rsidP="00C11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66A6" w:rsidP="00C1118A">
            <w:pPr>
              <w:rPr>
                <w:b/>
                <w:u w:val="single"/>
              </w:rPr>
            </w:pPr>
          </w:p>
          <w:p w:rsidR="00286DFF" w:rsidRPr="00286DFF" w:rsidRDefault="000166A6" w:rsidP="00C1118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0166A6" w:rsidP="00C1118A">
            <w:pPr>
              <w:rPr>
                <w:b/>
                <w:u w:val="single"/>
              </w:rPr>
            </w:pPr>
          </w:p>
        </w:tc>
      </w:tr>
      <w:tr w:rsidR="002B5E95" w:rsidTr="00345119">
        <w:tc>
          <w:tcPr>
            <w:tcW w:w="9576" w:type="dxa"/>
          </w:tcPr>
          <w:p w:rsidR="008423E4" w:rsidRPr="00A8133F" w:rsidRDefault="000166A6" w:rsidP="00C111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66A6" w:rsidP="00C1118A"/>
          <w:p w:rsidR="00286DFF" w:rsidRDefault="000166A6" w:rsidP="00C111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0166A6" w:rsidP="00C1118A">
            <w:pPr>
              <w:rPr>
                <w:b/>
              </w:rPr>
            </w:pPr>
          </w:p>
        </w:tc>
      </w:tr>
      <w:tr w:rsidR="002B5E95" w:rsidTr="00345119">
        <w:tc>
          <w:tcPr>
            <w:tcW w:w="9576" w:type="dxa"/>
          </w:tcPr>
          <w:p w:rsidR="008423E4" w:rsidRPr="00A8133F" w:rsidRDefault="000166A6" w:rsidP="00C111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66A6" w:rsidP="00C1118A"/>
          <w:p w:rsidR="005406AA" w:rsidRDefault="000166A6" w:rsidP="00C111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1511 amends the </w:t>
            </w:r>
            <w:r w:rsidRPr="00DF5C43">
              <w:t>Parks and Wildlife Code</w:t>
            </w:r>
            <w:r>
              <w:t xml:space="preserve"> to </w:t>
            </w:r>
            <w:r>
              <w:t>require the Parks and Wildlife Department</w:t>
            </w:r>
            <w:r>
              <w:t>,</w:t>
            </w:r>
            <w:r>
              <w:t xml:space="preserve"> </w:t>
            </w:r>
            <w:r w:rsidRPr="003077E5">
              <w:t>not later than the later of September 1, 2019, or the 90th day after the bill's effective date</w:t>
            </w:r>
            <w:r>
              <w:t xml:space="preserve">, </w:t>
            </w:r>
            <w:r>
              <w:t xml:space="preserve">to enter into </w:t>
            </w:r>
            <w:r w:rsidRPr="001B377A">
              <w:t xml:space="preserve">a </w:t>
            </w:r>
            <w:r w:rsidRPr="001B377A">
              <w:t>memorandum of understanding for a term of 99 years with an appropriate nonprofit foundation for the operation and maintenance of the Battleship "Texas."</w:t>
            </w:r>
            <w:r>
              <w:t xml:space="preserve"> The bill requires the memorandum of understanding to include provisions</w:t>
            </w:r>
            <w:r>
              <w:t>:</w:t>
            </w:r>
            <w:r>
              <w:t xml:space="preserve"> </w:t>
            </w:r>
          </w:p>
          <w:p w:rsidR="005406AA" w:rsidRDefault="000166A6" w:rsidP="00C111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B377A">
              <w:t>governing the preservation, m</w:t>
            </w:r>
            <w:r w:rsidRPr="001B377A">
              <w:t>anagement, and operation of the Battleship "Texas" consistent with the Standards for Historic Vessel Preservation Projects with Guidelines for Applying the Standards published by th</w:t>
            </w:r>
            <w:r>
              <w:t>e Secretary of the U.S.</w:t>
            </w:r>
            <w:r w:rsidRPr="001B377A">
              <w:t xml:space="preserve"> Department of the Interior as those standards exist</w:t>
            </w:r>
            <w:r w:rsidRPr="001B377A">
              <w:t>ed on January 1, 2019</w:t>
            </w:r>
            <w:r>
              <w:t xml:space="preserve">; </w:t>
            </w:r>
          </w:p>
          <w:p w:rsidR="005406AA" w:rsidRDefault="000166A6" w:rsidP="00C111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requiring </w:t>
            </w:r>
            <w:r>
              <w:t>the</w:t>
            </w:r>
            <w:r>
              <w:t xml:space="preserve"> nonprofit foundation </w:t>
            </w:r>
            <w:r w:rsidRPr="005406AA">
              <w:t>to consult with the state historic preservation officer on matters related to the preservation or repair of the battleship</w:t>
            </w:r>
            <w:r>
              <w:t xml:space="preserve">; and </w:t>
            </w:r>
          </w:p>
          <w:p w:rsidR="008423E4" w:rsidRDefault="000166A6" w:rsidP="00C111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406AA">
              <w:t>regarding the protection of the public's interest in maintaining and</w:t>
            </w:r>
            <w:r w:rsidRPr="005406AA">
              <w:t xml:space="preserve"> preserving a priceless historical asset in a manner that ensures the public has access to the asset and an opportunity to provide comment regarding the preservation of the asset.</w:t>
            </w:r>
            <w:r>
              <w:t xml:space="preserve"> </w:t>
            </w:r>
          </w:p>
          <w:p w:rsidR="005406AA" w:rsidRDefault="000166A6" w:rsidP="00C1118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bill sets out its purpose.</w:t>
            </w:r>
          </w:p>
          <w:p w:rsidR="008423E4" w:rsidRPr="00835628" w:rsidRDefault="000166A6" w:rsidP="00C1118A">
            <w:pPr>
              <w:rPr>
                <w:b/>
              </w:rPr>
            </w:pPr>
          </w:p>
        </w:tc>
      </w:tr>
      <w:tr w:rsidR="002B5E95" w:rsidTr="00345119">
        <w:tc>
          <w:tcPr>
            <w:tcW w:w="9576" w:type="dxa"/>
          </w:tcPr>
          <w:p w:rsidR="008423E4" w:rsidRPr="00A8133F" w:rsidRDefault="000166A6" w:rsidP="00C111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66A6" w:rsidP="00C1118A"/>
          <w:p w:rsidR="008423E4" w:rsidRPr="003624F2" w:rsidRDefault="000166A6" w:rsidP="00C111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</w:t>
            </w:r>
            <w:r>
              <w:t>bill does not receive the necessary vote, September 1, 2019.</w:t>
            </w:r>
          </w:p>
          <w:p w:rsidR="008423E4" w:rsidRPr="00233FDB" w:rsidRDefault="000166A6" w:rsidP="00C1118A">
            <w:pPr>
              <w:rPr>
                <w:b/>
              </w:rPr>
            </w:pPr>
          </w:p>
        </w:tc>
      </w:tr>
    </w:tbl>
    <w:p w:rsidR="008423E4" w:rsidRPr="00BE0E75" w:rsidRDefault="000166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C1118A" w:rsidRDefault="000166A6" w:rsidP="008423E4">
      <w:pPr>
        <w:rPr>
          <w:sz w:val="12"/>
        </w:rPr>
      </w:pPr>
    </w:p>
    <w:sectPr w:rsidR="004108C3" w:rsidRPr="00C1118A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66A6">
      <w:r>
        <w:separator/>
      </w:r>
    </w:p>
  </w:endnote>
  <w:endnote w:type="continuationSeparator" w:id="0">
    <w:p w:rsidR="00000000" w:rsidRDefault="0001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83" w:rsidRDefault="00016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5E95" w:rsidTr="009C1E9A">
      <w:trPr>
        <w:cantSplit/>
      </w:trPr>
      <w:tc>
        <w:tcPr>
          <w:tcW w:w="0" w:type="pct"/>
        </w:tcPr>
        <w:p w:rsidR="00137D90" w:rsidRDefault="000166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66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C1118A" w:rsidRDefault="000166A6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0166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66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5E95" w:rsidTr="009C1E9A">
      <w:trPr>
        <w:cantSplit/>
      </w:trPr>
      <w:tc>
        <w:tcPr>
          <w:tcW w:w="0" w:type="pct"/>
        </w:tcPr>
        <w:p w:rsidR="00EC379B" w:rsidRDefault="000166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66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32397</w:t>
          </w:r>
        </w:p>
      </w:tc>
      <w:tc>
        <w:tcPr>
          <w:tcW w:w="2453" w:type="pct"/>
        </w:tcPr>
        <w:p w:rsidR="00EC379B" w:rsidRDefault="000166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19.127.599</w:t>
          </w:r>
          <w:r>
            <w:fldChar w:fldCharType="end"/>
          </w:r>
        </w:p>
      </w:tc>
    </w:tr>
    <w:tr w:rsidR="002B5E95" w:rsidTr="009C1E9A">
      <w:trPr>
        <w:cantSplit/>
      </w:trPr>
      <w:tc>
        <w:tcPr>
          <w:tcW w:w="0" w:type="pct"/>
        </w:tcPr>
        <w:p w:rsidR="00EC379B" w:rsidRDefault="000166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66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Pr="00C1118A" w:rsidRDefault="000166A6" w:rsidP="006D504F">
          <w:pPr>
            <w:pStyle w:val="Footer"/>
            <w:rPr>
              <w:rStyle w:val="PageNumber"/>
              <w:sz w:val="2"/>
            </w:rPr>
          </w:pPr>
        </w:p>
        <w:p w:rsidR="00EC379B" w:rsidRDefault="000166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5E95" w:rsidTr="009C1E9A">
      <w:trPr>
        <w:cantSplit/>
        <w:trHeight w:val="323"/>
      </w:trPr>
      <w:tc>
        <w:tcPr>
          <w:tcW w:w="0" w:type="pct"/>
          <w:gridSpan w:val="3"/>
        </w:tcPr>
        <w:p w:rsidR="00EC379B" w:rsidRPr="00C1118A" w:rsidRDefault="000166A6" w:rsidP="009C1E9A">
          <w:pPr>
            <w:pStyle w:val="Footer"/>
            <w:jc w:val="center"/>
            <w:rPr>
              <w:rStyle w:val="PageNumber"/>
              <w:sz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66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66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83" w:rsidRDefault="00016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66A6">
      <w:r>
        <w:separator/>
      </w:r>
    </w:p>
  </w:footnote>
  <w:footnote w:type="continuationSeparator" w:id="0">
    <w:p w:rsidR="00000000" w:rsidRDefault="0001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83" w:rsidRDefault="00016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83" w:rsidRDefault="00016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83" w:rsidRDefault="00016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1DC"/>
    <w:multiLevelType w:val="hybridMultilevel"/>
    <w:tmpl w:val="4D9CB39A"/>
    <w:lvl w:ilvl="0" w:tplc="E1228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4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E1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D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64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4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84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C7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C2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95"/>
    <w:rsid w:val="000166A6"/>
    <w:rsid w:val="002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CCE475-F40E-41A0-8627-E1BEAD47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37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3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7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3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2300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SB01511 (Committee Report (Unamended))</vt:lpstr>
    </vt:vector>
  </TitlesOfParts>
  <Company>State of Texas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32397</dc:subject>
  <dc:creator>State of Texas</dc:creator>
  <dc:description>SB 1511 by Nichols-(H)Culture, Recreation &amp; Tourism</dc:description>
  <cp:lastModifiedBy>Erin Conway</cp:lastModifiedBy>
  <cp:revision>2</cp:revision>
  <cp:lastPrinted>2003-11-26T17:21:00Z</cp:lastPrinted>
  <dcterms:created xsi:type="dcterms:W3CDTF">2019-05-08T20:07:00Z</dcterms:created>
  <dcterms:modified xsi:type="dcterms:W3CDTF">2019-05-08T20:07:00Z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19.127.599</vt:lpwstr>
  </property>
</Properties>
</file>