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A3AF5" w:rsidTr="00345119">
        <w:tc>
          <w:tcPr>
            <w:tcW w:w="9576" w:type="dxa"/>
            <w:noWrap/>
          </w:tcPr>
          <w:p w:rsidR="008423E4" w:rsidRPr="0022177D" w:rsidRDefault="00365881" w:rsidP="00345119">
            <w:pPr>
              <w:pStyle w:val="Heading1"/>
            </w:pPr>
            <w:bookmarkStart w:id="0" w:name="_GoBack"/>
            <w:bookmarkEnd w:id="0"/>
            <w:r w:rsidRPr="00631897">
              <w:t>BILL ANALYSIS</w:t>
            </w:r>
          </w:p>
        </w:tc>
      </w:tr>
    </w:tbl>
    <w:p w:rsidR="008423E4" w:rsidRPr="0022177D" w:rsidRDefault="00365881" w:rsidP="008423E4">
      <w:pPr>
        <w:jc w:val="center"/>
      </w:pPr>
    </w:p>
    <w:p w:rsidR="008423E4" w:rsidRPr="00B31F0E" w:rsidRDefault="00365881" w:rsidP="008423E4"/>
    <w:p w:rsidR="008423E4" w:rsidRPr="00EF1835" w:rsidRDefault="00365881" w:rsidP="008423E4">
      <w:pPr>
        <w:tabs>
          <w:tab w:val="right" w:pos="9360"/>
        </w:tabs>
        <w:rPr>
          <w:sz w:val="22"/>
        </w:rPr>
      </w:pPr>
    </w:p>
    <w:tbl>
      <w:tblPr>
        <w:tblW w:w="0" w:type="auto"/>
        <w:tblLayout w:type="fixed"/>
        <w:tblLook w:val="01E0" w:firstRow="1" w:lastRow="1" w:firstColumn="1" w:lastColumn="1" w:noHBand="0" w:noVBand="0"/>
      </w:tblPr>
      <w:tblGrid>
        <w:gridCol w:w="9576"/>
      </w:tblGrid>
      <w:tr w:rsidR="009A3AF5" w:rsidTr="00345119">
        <w:tc>
          <w:tcPr>
            <w:tcW w:w="9576" w:type="dxa"/>
          </w:tcPr>
          <w:p w:rsidR="008423E4" w:rsidRPr="00861995" w:rsidRDefault="00365881" w:rsidP="00345119">
            <w:pPr>
              <w:jc w:val="right"/>
            </w:pPr>
            <w:r>
              <w:t>S.B. 1512</w:t>
            </w:r>
          </w:p>
        </w:tc>
      </w:tr>
      <w:tr w:rsidR="009A3AF5" w:rsidTr="00345119">
        <w:tc>
          <w:tcPr>
            <w:tcW w:w="9576" w:type="dxa"/>
          </w:tcPr>
          <w:p w:rsidR="008423E4" w:rsidRPr="00861995" w:rsidRDefault="00365881" w:rsidP="007152D5">
            <w:pPr>
              <w:jc w:val="right"/>
            </w:pPr>
            <w:r>
              <w:t xml:space="preserve">By: </w:t>
            </w:r>
            <w:r>
              <w:t>Flores</w:t>
            </w:r>
          </w:p>
        </w:tc>
      </w:tr>
      <w:tr w:rsidR="009A3AF5" w:rsidTr="00345119">
        <w:tc>
          <w:tcPr>
            <w:tcW w:w="9576" w:type="dxa"/>
          </w:tcPr>
          <w:p w:rsidR="008423E4" w:rsidRPr="00861995" w:rsidRDefault="00365881" w:rsidP="00345119">
            <w:pPr>
              <w:jc w:val="right"/>
            </w:pPr>
            <w:r>
              <w:t>Transportation</w:t>
            </w:r>
          </w:p>
        </w:tc>
      </w:tr>
      <w:tr w:rsidR="009A3AF5" w:rsidTr="00345119">
        <w:tc>
          <w:tcPr>
            <w:tcW w:w="9576" w:type="dxa"/>
          </w:tcPr>
          <w:p w:rsidR="008423E4" w:rsidRDefault="00365881" w:rsidP="00345119">
            <w:pPr>
              <w:jc w:val="right"/>
            </w:pPr>
            <w:r>
              <w:t>Committee Report (Unamended)</w:t>
            </w:r>
          </w:p>
        </w:tc>
      </w:tr>
    </w:tbl>
    <w:p w:rsidR="008423E4" w:rsidRPr="00EF1835" w:rsidRDefault="00365881" w:rsidP="008423E4">
      <w:pPr>
        <w:tabs>
          <w:tab w:val="right" w:pos="9360"/>
        </w:tabs>
        <w:rPr>
          <w:sz w:val="22"/>
        </w:rPr>
      </w:pPr>
    </w:p>
    <w:p w:rsidR="008423E4" w:rsidRPr="00EF1835" w:rsidRDefault="00365881" w:rsidP="008423E4">
      <w:pPr>
        <w:rPr>
          <w:sz w:val="22"/>
        </w:rPr>
      </w:pPr>
    </w:p>
    <w:p w:rsidR="008423E4" w:rsidRPr="00EF1835" w:rsidRDefault="00365881"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9A3AF5" w:rsidTr="00345119">
        <w:tc>
          <w:tcPr>
            <w:tcW w:w="9576" w:type="dxa"/>
          </w:tcPr>
          <w:p w:rsidR="008423E4" w:rsidRPr="00A8133F" w:rsidRDefault="00365881" w:rsidP="004B0877">
            <w:pPr>
              <w:rPr>
                <w:b/>
              </w:rPr>
            </w:pPr>
            <w:r w:rsidRPr="009C1E9A">
              <w:rPr>
                <w:b/>
                <w:u w:val="single"/>
              </w:rPr>
              <w:t>BACKGROUND AND PURPOSE</w:t>
            </w:r>
            <w:r>
              <w:rPr>
                <w:b/>
              </w:rPr>
              <w:t xml:space="preserve"> </w:t>
            </w:r>
          </w:p>
          <w:p w:rsidR="008423E4" w:rsidRPr="00EF1835" w:rsidRDefault="00365881" w:rsidP="004B0877">
            <w:pPr>
              <w:rPr>
                <w:sz w:val="22"/>
              </w:rPr>
            </w:pPr>
          </w:p>
          <w:p w:rsidR="008423E4" w:rsidRDefault="00365881" w:rsidP="004B0877">
            <w:pPr>
              <w:pStyle w:val="Header"/>
              <w:jc w:val="both"/>
            </w:pPr>
            <w:r>
              <w:t xml:space="preserve">It has been noted </w:t>
            </w:r>
            <w:r>
              <w:t xml:space="preserve">that </w:t>
            </w:r>
            <w:r>
              <w:t>t</w:t>
            </w:r>
            <w:r>
              <w:t xml:space="preserve">he </w:t>
            </w:r>
            <w:r>
              <w:t>s</w:t>
            </w:r>
            <w:r>
              <w:t xml:space="preserve">tate </w:t>
            </w:r>
            <w:r>
              <w:t>i</w:t>
            </w:r>
            <w:r>
              <w:t xml:space="preserve">nfrastructure </w:t>
            </w:r>
            <w:r>
              <w:t>b</w:t>
            </w:r>
            <w:r>
              <w:t xml:space="preserve">ank was created to encourage public and private investment in transportation facilities </w:t>
            </w:r>
            <w:r>
              <w:t>that contribute to transportation capabilities of the state</w:t>
            </w:r>
            <w:r>
              <w:t xml:space="preserve"> and that m</w:t>
            </w:r>
            <w:r>
              <w:t>any cities</w:t>
            </w:r>
            <w:r>
              <w:t>,</w:t>
            </w:r>
            <w:r>
              <w:t xml:space="preserve"> counties</w:t>
            </w:r>
            <w:r>
              <w:t>, and utilities</w:t>
            </w:r>
            <w:r>
              <w:t xml:space="preserve"> use the </w:t>
            </w:r>
            <w:r>
              <w:t xml:space="preserve">bank </w:t>
            </w:r>
            <w:r>
              <w:t xml:space="preserve">to assist with loans to finance utility relocation. </w:t>
            </w:r>
            <w:r>
              <w:t>However, reports indicate that s</w:t>
            </w:r>
            <w:r>
              <w:t>ome cities, counties, and utility districts</w:t>
            </w:r>
            <w:r>
              <w:t xml:space="preserve"> </w:t>
            </w:r>
            <w:r>
              <w:t>are unabl</w:t>
            </w:r>
            <w:r>
              <w:t xml:space="preserve">e to afford the relocation of their utilities or qualify for a loan for utility relocation due to their inability to repay the loan obligation. The inability to pay for the relocation or otherwise qualify for </w:t>
            </w:r>
            <w:r>
              <w:t>the loan often</w:t>
            </w:r>
            <w:r>
              <w:t xml:space="preserve"> delays the construction project </w:t>
            </w:r>
            <w:r>
              <w:t>while the utility attempts to secure other means of funding</w:t>
            </w:r>
            <w:r>
              <w:t>, which forces</w:t>
            </w:r>
            <w:r>
              <w:t xml:space="preserve"> </w:t>
            </w:r>
            <w:r>
              <w:t xml:space="preserve">the Texas Department of Transportation </w:t>
            </w:r>
            <w:r>
              <w:t xml:space="preserve">to relocate the utilities at its </w:t>
            </w:r>
            <w:r>
              <w:t xml:space="preserve">own </w:t>
            </w:r>
            <w:r>
              <w:t>expense and seek reimbursement from the utility, which is often an uncollectible debt.</w:t>
            </w:r>
            <w:r>
              <w:t xml:space="preserve"> </w:t>
            </w:r>
            <w:r>
              <w:t>S.B. 1512</w:t>
            </w:r>
            <w:r>
              <w:t xml:space="preserve"> seeks to </w:t>
            </w:r>
            <w:r>
              <w:t>address this issue by providing for the relocation of certain political subdivision utility facilities for state highway projects at the expense of the state</w:t>
            </w:r>
            <w:r>
              <w:t>.</w:t>
            </w:r>
          </w:p>
          <w:p w:rsidR="008423E4" w:rsidRPr="00EF1835" w:rsidRDefault="00365881" w:rsidP="004B0877">
            <w:pPr>
              <w:rPr>
                <w:b/>
                <w:sz w:val="22"/>
              </w:rPr>
            </w:pPr>
          </w:p>
        </w:tc>
      </w:tr>
      <w:tr w:rsidR="009A3AF5" w:rsidTr="00345119">
        <w:tc>
          <w:tcPr>
            <w:tcW w:w="9576" w:type="dxa"/>
          </w:tcPr>
          <w:p w:rsidR="0017725B" w:rsidRDefault="00365881" w:rsidP="004B0877">
            <w:pPr>
              <w:rPr>
                <w:b/>
                <w:u w:val="single"/>
              </w:rPr>
            </w:pPr>
            <w:r>
              <w:rPr>
                <w:b/>
                <w:u w:val="single"/>
              </w:rPr>
              <w:t>CRIMINAL JUSTICE IMPACT</w:t>
            </w:r>
          </w:p>
          <w:p w:rsidR="0017725B" w:rsidRPr="00EF1835" w:rsidRDefault="00365881" w:rsidP="004B0877">
            <w:pPr>
              <w:rPr>
                <w:b/>
                <w:sz w:val="22"/>
                <w:u w:val="single"/>
              </w:rPr>
            </w:pPr>
          </w:p>
          <w:p w:rsidR="00F22117" w:rsidRPr="00F22117" w:rsidRDefault="00365881" w:rsidP="004B0877">
            <w:pPr>
              <w:jc w:val="both"/>
            </w:pPr>
            <w:r>
              <w:t>It is the committee's opinion that this bill does not expressly create</w:t>
            </w:r>
            <w:r>
              <w:t xml:space="preserve"> a criminal offense, increase the punishment for an existing criminal offense or category of offenses, or change the eligibility of a person for community supervision, parole, or mandatory supervision.</w:t>
            </w:r>
          </w:p>
          <w:p w:rsidR="0017725B" w:rsidRPr="00EF1835" w:rsidRDefault="00365881" w:rsidP="004B0877">
            <w:pPr>
              <w:rPr>
                <w:b/>
                <w:sz w:val="22"/>
                <w:u w:val="single"/>
              </w:rPr>
            </w:pPr>
          </w:p>
        </w:tc>
      </w:tr>
      <w:tr w:rsidR="009A3AF5" w:rsidTr="00345119">
        <w:tc>
          <w:tcPr>
            <w:tcW w:w="9576" w:type="dxa"/>
          </w:tcPr>
          <w:p w:rsidR="008423E4" w:rsidRPr="00A8133F" w:rsidRDefault="00365881" w:rsidP="004B0877">
            <w:pPr>
              <w:rPr>
                <w:b/>
              </w:rPr>
            </w:pPr>
            <w:r w:rsidRPr="009C1E9A">
              <w:rPr>
                <w:b/>
                <w:u w:val="single"/>
              </w:rPr>
              <w:t>RULEMAKING AUTHORITY</w:t>
            </w:r>
            <w:r>
              <w:rPr>
                <w:b/>
              </w:rPr>
              <w:t xml:space="preserve"> </w:t>
            </w:r>
          </w:p>
          <w:p w:rsidR="008423E4" w:rsidRPr="00EF1835" w:rsidRDefault="00365881" w:rsidP="004B0877">
            <w:pPr>
              <w:rPr>
                <w:sz w:val="22"/>
              </w:rPr>
            </w:pPr>
          </w:p>
          <w:p w:rsidR="00F22117" w:rsidRDefault="00365881" w:rsidP="004B0877">
            <w:pPr>
              <w:pStyle w:val="Header"/>
              <w:tabs>
                <w:tab w:val="clear" w:pos="4320"/>
                <w:tab w:val="clear" w:pos="8640"/>
              </w:tabs>
              <w:jc w:val="both"/>
            </w:pPr>
            <w:r>
              <w:t>It is the committee's opinion</w:t>
            </w:r>
            <w:r>
              <w:t xml:space="preserve"> that this bill does not expressly grant any additional rulemaking authority to a state officer, department, agency, or institution.</w:t>
            </w:r>
          </w:p>
          <w:p w:rsidR="008423E4" w:rsidRPr="00EF1835" w:rsidRDefault="00365881" w:rsidP="004B0877">
            <w:pPr>
              <w:rPr>
                <w:b/>
                <w:sz w:val="22"/>
              </w:rPr>
            </w:pPr>
          </w:p>
        </w:tc>
      </w:tr>
      <w:tr w:rsidR="009A3AF5" w:rsidTr="00345119">
        <w:tc>
          <w:tcPr>
            <w:tcW w:w="9576" w:type="dxa"/>
          </w:tcPr>
          <w:p w:rsidR="008423E4" w:rsidRPr="00A8133F" w:rsidRDefault="00365881" w:rsidP="004B0877">
            <w:pPr>
              <w:rPr>
                <w:b/>
              </w:rPr>
            </w:pPr>
            <w:r w:rsidRPr="009C1E9A">
              <w:rPr>
                <w:b/>
                <w:u w:val="single"/>
              </w:rPr>
              <w:t>ANALYSIS</w:t>
            </w:r>
            <w:r>
              <w:rPr>
                <w:b/>
              </w:rPr>
              <w:t xml:space="preserve"> </w:t>
            </w:r>
          </w:p>
          <w:p w:rsidR="008423E4" w:rsidRDefault="00365881" w:rsidP="004B0877"/>
          <w:p w:rsidR="00B10C85" w:rsidRDefault="00365881" w:rsidP="00EF1835">
            <w:pPr>
              <w:pStyle w:val="Header"/>
              <w:jc w:val="both"/>
            </w:pPr>
            <w:r>
              <w:t>S.B. 1512 amends the Transportation Code to require a utility to relocat</w:t>
            </w:r>
            <w:r>
              <w:t>e</w:t>
            </w:r>
            <w:r>
              <w:t xml:space="preserve"> a utility facility required by </w:t>
            </w:r>
            <w:r>
              <w:t>a</w:t>
            </w:r>
            <w:r>
              <w:t xml:space="preserve"> sta</w:t>
            </w:r>
            <w:r>
              <w:t xml:space="preserve">te highway system </w:t>
            </w:r>
            <w:r>
              <w:t xml:space="preserve">improvement </w:t>
            </w:r>
            <w:r>
              <w:t>at the expense of the state if the Texas Transportation Commission determines</w:t>
            </w:r>
            <w:r>
              <w:t xml:space="preserve"> that</w:t>
            </w:r>
            <w:r>
              <w:t>:</w:t>
            </w:r>
          </w:p>
          <w:p w:rsidR="00B10C85" w:rsidRDefault="00365881" w:rsidP="00516626">
            <w:pPr>
              <w:pStyle w:val="Header"/>
              <w:numPr>
                <w:ilvl w:val="0"/>
                <w:numId w:val="1"/>
              </w:numPr>
              <w:spacing w:before="120" w:after="120"/>
              <w:jc w:val="both"/>
            </w:pPr>
            <w:r>
              <w:t xml:space="preserve">the utility is a political subdivision or is owned or operated by a political subdivision; </w:t>
            </w:r>
          </w:p>
          <w:p w:rsidR="00B10C85" w:rsidRDefault="00365881" w:rsidP="00516626">
            <w:pPr>
              <w:pStyle w:val="Header"/>
              <w:numPr>
                <w:ilvl w:val="0"/>
                <w:numId w:val="1"/>
              </w:numPr>
              <w:spacing w:before="120" w:after="120"/>
              <w:jc w:val="both"/>
            </w:pPr>
            <w:r>
              <w:t>a financial condition would prevent the utility fr</w:t>
            </w:r>
            <w:r>
              <w:t xml:space="preserve">om being able to pay the cost of relocation in full or in part at the time of relocation or, if paid at that time, the payment would adversely affect the utility's ability to operate or provide essential services to its customers; and </w:t>
            </w:r>
          </w:p>
          <w:p w:rsidR="00A07C8F" w:rsidRDefault="00365881" w:rsidP="00516626">
            <w:pPr>
              <w:pStyle w:val="Header"/>
              <w:numPr>
                <w:ilvl w:val="0"/>
                <w:numId w:val="1"/>
              </w:numPr>
              <w:spacing w:before="120" w:after="120"/>
              <w:jc w:val="both"/>
            </w:pPr>
            <w:r>
              <w:t xml:space="preserve">the utility: </w:t>
            </w:r>
          </w:p>
          <w:p w:rsidR="00145F4E" w:rsidRDefault="00365881" w:rsidP="00516626">
            <w:pPr>
              <w:pStyle w:val="Header"/>
              <w:numPr>
                <w:ilvl w:val="1"/>
                <w:numId w:val="1"/>
              </w:numPr>
              <w:spacing w:before="120" w:after="120"/>
              <w:jc w:val="both"/>
            </w:pPr>
            <w:r>
              <w:t xml:space="preserve">would </w:t>
            </w:r>
            <w:r>
              <w:t>not be able to receive</w:t>
            </w:r>
            <w:r>
              <w:t xml:space="preserve"> a state infrastructure bank loan </w:t>
            </w:r>
            <w:r>
              <w:t xml:space="preserve">to finance the cost of the relocation </w:t>
            </w:r>
            <w:r>
              <w:t xml:space="preserve">and </w:t>
            </w:r>
            <w:r>
              <w:t xml:space="preserve">is otherwise unable to finance </w:t>
            </w:r>
            <w:r>
              <w:t xml:space="preserve">that cost; or </w:t>
            </w:r>
          </w:p>
          <w:p w:rsidR="008423E4" w:rsidRDefault="00365881" w:rsidP="00516626">
            <w:pPr>
              <w:pStyle w:val="Header"/>
              <w:numPr>
                <w:ilvl w:val="1"/>
                <w:numId w:val="1"/>
              </w:numPr>
              <w:spacing w:before="120" w:after="120"/>
              <w:jc w:val="both"/>
            </w:pPr>
            <w:r w:rsidRPr="00145F4E">
              <w:t>is a political subdivision or is owned or operated by a political subdivision that</w:t>
            </w:r>
            <w:r>
              <w:t xml:space="preserve"> </w:t>
            </w:r>
            <w:r w:rsidRPr="00145F4E">
              <w:t>has a population of less than</w:t>
            </w:r>
            <w:r w:rsidRPr="00145F4E">
              <w:t xml:space="preserve"> 5,000</w:t>
            </w:r>
            <w:r>
              <w:t xml:space="preserve"> and </w:t>
            </w:r>
            <w:r w:rsidRPr="00145F4E">
              <w:t>is located in a county that has been included in at least five disaster declarations made by the president of the United States in the six-year period preceding the proposed date of the relocation</w:t>
            </w:r>
            <w:r>
              <w:t>.</w:t>
            </w:r>
          </w:p>
          <w:p w:rsidR="00145F4E" w:rsidRDefault="00365881" w:rsidP="00EF1835">
            <w:pPr>
              <w:pStyle w:val="Header"/>
              <w:jc w:val="both"/>
            </w:pPr>
            <w:r>
              <w:t xml:space="preserve">The bill caps the total amount paid by the </w:t>
            </w:r>
            <w:r w:rsidRPr="00145F4E">
              <w:t>Texa</w:t>
            </w:r>
            <w:r w:rsidRPr="00145F4E">
              <w:t>s Department of Transportation</w:t>
            </w:r>
            <w:r>
              <w:t xml:space="preserve"> </w:t>
            </w:r>
            <w:r w:rsidRPr="00145F4E">
              <w:t>for the relocation of utility facilities</w:t>
            </w:r>
            <w:r>
              <w:t xml:space="preserve"> under the bill's provisions</w:t>
            </w:r>
            <w:r>
              <w:t xml:space="preserve"> at </w:t>
            </w:r>
            <w:r w:rsidRPr="00145F4E">
              <w:t>$10 million in any fiscal year</w:t>
            </w:r>
            <w:r>
              <w:t xml:space="preserve">. </w:t>
            </w:r>
          </w:p>
          <w:p w:rsidR="008423E4" w:rsidRPr="00835628" w:rsidRDefault="00365881">
            <w:pPr>
              <w:rPr>
                <w:b/>
              </w:rPr>
            </w:pPr>
          </w:p>
        </w:tc>
      </w:tr>
      <w:tr w:rsidR="009A3AF5" w:rsidTr="00345119">
        <w:tc>
          <w:tcPr>
            <w:tcW w:w="9576" w:type="dxa"/>
          </w:tcPr>
          <w:p w:rsidR="008423E4" w:rsidRPr="00A8133F" w:rsidRDefault="00365881">
            <w:pPr>
              <w:rPr>
                <w:b/>
              </w:rPr>
            </w:pPr>
            <w:r w:rsidRPr="009C1E9A">
              <w:rPr>
                <w:b/>
                <w:u w:val="single"/>
              </w:rPr>
              <w:t>EFFECTIVE DATE</w:t>
            </w:r>
            <w:r>
              <w:rPr>
                <w:b/>
              </w:rPr>
              <w:t xml:space="preserve"> </w:t>
            </w:r>
          </w:p>
          <w:p w:rsidR="008423E4" w:rsidRDefault="00365881"/>
          <w:p w:rsidR="008423E4" w:rsidRPr="003624F2" w:rsidRDefault="00365881">
            <w:pPr>
              <w:pStyle w:val="Header"/>
              <w:tabs>
                <w:tab w:val="clear" w:pos="4320"/>
                <w:tab w:val="clear" w:pos="8640"/>
              </w:tabs>
              <w:jc w:val="both"/>
            </w:pPr>
            <w:r>
              <w:t>On passage, or, if the bill does not receive the necessary vote, September 1, 2019.</w:t>
            </w:r>
          </w:p>
          <w:p w:rsidR="008423E4" w:rsidRPr="00233FDB" w:rsidRDefault="00365881">
            <w:pPr>
              <w:rPr>
                <w:b/>
              </w:rPr>
            </w:pPr>
          </w:p>
        </w:tc>
      </w:tr>
    </w:tbl>
    <w:p w:rsidR="008423E4" w:rsidRPr="00BE0E75" w:rsidRDefault="00365881" w:rsidP="008423E4">
      <w:pPr>
        <w:spacing w:line="480" w:lineRule="auto"/>
        <w:jc w:val="both"/>
        <w:rPr>
          <w:rFonts w:ascii="Arial" w:hAnsi="Arial"/>
          <w:sz w:val="16"/>
          <w:szCs w:val="16"/>
        </w:rPr>
      </w:pPr>
    </w:p>
    <w:p w:rsidR="004108C3" w:rsidRPr="00330A1C" w:rsidRDefault="00365881" w:rsidP="008423E4">
      <w:pPr>
        <w:rPr>
          <w:sz w:val="2"/>
          <w:szCs w:val="2"/>
        </w:rPr>
      </w:pPr>
    </w:p>
    <w:sectPr w:rsidR="004108C3" w:rsidRPr="00330A1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5881">
      <w:r>
        <w:separator/>
      </w:r>
    </w:p>
  </w:endnote>
  <w:endnote w:type="continuationSeparator" w:id="0">
    <w:p w:rsidR="00000000" w:rsidRDefault="003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3AF5" w:rsidTr="009C1E9A">
      <w:trPr>
        <w:cantSplit/>
      </w:trPr>
      <w:tc>
        <w:tcPr>
          <w:tcW w:w="0" w:type="pct"/>
        </w:tcPr>
        <w:p w:rsidR="00137D90" w:rsidRDefault="00365881" w:rsidP="009C1E9A">
          <w:pPr>
            <w:pStyle w:val="Footer"/>
            <w:tabs>
              <w:tab w:val="clear" w:pos="8640"/>
              <w:tab w:val="right" w:pos="9360"/>
            </w:tabs>
          </w:pPr>
        </w:p>
      </w:tc>
      <w:tc>
        <w:tcPr>
          <w:tcW w:w="2395" w:type="pct"/>
        </w:tcPr>
        <w:p w:rsidR="00137D90" w:rsidRDefault="00365881" w:rsidP="009C1E9A">
          <w:pPr>
            <w:pStyle w:val="Footer"/>
            <w:tabs>
              <w:tab w:val="clear" w:pos="8640"/>
              <w:tab w:val="right" w:pos="9360"/>
            </w:tabs>
          </w:pPr>
        </w:p>
        <w:p w:rsidR="001A4310" w:rsidRDefault="00365881" w:rsidP="009C1E9A">
          <w:pPr>
            <w:pStyle w:val="Footer"/>
            <w:tabs>
              <w:tab w:val="clear" w:pos="8640"/>
              <w:tab w:val="right" w:pos="9360"/>
            </w:tabs>
          </w:pPr>
        </w:p>
        <w:p w:rsidR="00137D90" w:rsidRDefault="00365881" w:rsidP="009C1E9A">
          <w:pPr>
            <w:pStyle w:val="Footer"/>
            <w:tabs>
              <w:tab w:val="clear" w:pos="8640"/>
              <w:tab w:val="right" w:pos="9360"/>
            </w:tabs>
          </w:pPr>
        </w:p>
      </w:tc>
      <w:tc>
        <w:tcPr>
          <w:tcW w:w="2453" w:type="pct"/>
        </w:tcPr>
        <w:p w:rsidR="00137D90" w:rsidRDefault="00365881" w:rsidP="009C1E9A">
          <w:pPr>
            <w:pStyle w:val="Footer"/>
            <w:tabs>
              <w:tab w:val="clear" w:pos="8640"/>
              <w:tab w:val="right" w:pos="9360"/>
            </w:tabs>
            <w:jc w:val="right"/>
          </w:pPr>
        </w:p>
      </w:tc>
    </w:tr>
    <w:tr w:rsidR="009A3AF5" w:rsidTr="009C1E9A">
      <w:trPr>
        <w:cantSplit/>
      </w:trPr>
      <w:tc>
        <w:tcPr>
          <w:tcW w:w="0" w:type="pct"/>
        </w:tcPr>
        <w:p w:rsidR="00EC379B" w:rsidRDefault="00365881" w:rsidP="009C1E9A">
          <w:pPr>
            <w:pStyle w:val="Footer"/>
            <w:tabs>
              <w:tab w:val="clear" w:pos="8640"/>
              <w:tab w:val="right" w:pos="9360"/>
            </w:tabs>
          </w:pPr>
        </w:p>
      </w:tc>
      <w:tc>
        <w:tcPr>
          <w:tcW w:w="2395" w:type="pct"/>
        </w:tcPr>
        <w:p w:rsidR="00EC379B" w:rsidRPr="009C1E9A" w:rsidRDefault="00365881" w:rsidP="009C1E9A">
          <w:pPr>
            <w:pStyle w:val="Footer"/>
            <w:tabs>
              <w:tab w:val="clear" w:pos="8640"/>
              <w:tab w:val="right" w:pos="9360"/>
            </w:tabs>
            <w:rPr>
              <w:rFonts w:ascii="Shruti" w:hAnsi="Shruti"/>
              <w:sz w:val="22"/>
            </w:rPr>
          </w:pPr>
          <w:r>
            <w:rPr>
              <w:rFonts w:ascii="Shruti" w:hAnsi="Shruti"/>
              <w:sz w:val="22"/>
            </w:rPr>
            <w:t>86R 31589</w:t>
          </w:r>
        </w:p>
      </w:tc>
      <w:tc>
        <w:tcPr>
          <w:tcW w:w="2453" w:type="pct"/>
        </w:tcPr>
        <w:p w:rsidR="00EC379B" w:rsidRDefault="00365881" w:rsidP="009C1E9A">
          <w:pPr>
            <w:pStyle w:val="Footer"/>
            <w:tabs>
              <w:tab w:val="clear" w:pos="8640"/>
              <w:tab w:val="right" w:pos="9360"/>
            </w:tabs>
            <w:jc w:val="right"/>
          </w:pPr>
          <w:r>
            <w:fldChar w:fldCharType="begin"/>
          </w:r>
          <w:r>
            <w:instrText xml:space="preserve"> DOCPROPERTY  OTID  \* MERGEFORMAT </w:instrText>
          </w:r>
          <w:r>
            <w:fldChar w:fldCharType="separate"/>
          </w:r>
          <w:r>
            <w:t>19.123.555</w:t>
          </w:r>
          <w:r>
            <w:fldChar w:fldCharType="end"/>
          </w:r>
        </w:p>
      </w:tc>
    </w:tr>
    <w:tr w:rsidR="009A3AF5" w:rsidTr="009C1E9A">
      <w:trPr>
        <w:cantSplit/>
      </w:trPr>
      <w:tc>
        <w:tcPr>
          <w:tcW w:w="0" w:type="pct"/>
        </w:tcPr>
        <w:p w:rsidR="00EC379B" w:rsidRDefault="00365881" w:rsidP="009C1E9A">
          <w:pPr>
            <w:pStyle w:val="Footer"/>
            <w:tabs>
              <w:tab w:val="clear" w:pos="4320"/>
              <w:tab w:val="clear" w:pos="8640"/>
              <w:tab w:val="left" w:pos="2865"/>
            </w:tabs>
          </w:pPr>
        </w:p>
      </w:tc>
      <w:tc>
        <w:tcPr>
          <w:tcW w:w="2395" w:type="pct"/>
        </w:tcPr>
        <w:p w:rsidR="00EC379B" w:rsidRPr="009C1E9A" w:rsidRDefault="00365881" w:rsidP="009C1E9A">
          <w:pPr>
            <w:pStyle w:val="Footer"/>
            <w:tabs>
              <w:tab w:val="clear" w:pos="4320"/>
              <w:tab w:val="clear" w:pos="8640"/>
              <w:tab w:val="left" w:pos="2865"/>
            </w:tabs>
            <w:rPr>
              <w:rFonts w:ascii="Shruti" w:hAnsi="Shruti"/>
              <w:sz w:val="22"/>
            </w:rPr>
          </w:pPr>
        </w:p>
      </w:tc>
      <w:tc>
        <w:tcPr>
          <w:tcW w:w="2453" w:type="pct"/>
        </w:tcPr>
        <w:p w:rsidR="00EC379B" w:rsidRDefault="00365881" w:rsidP="006D504F">
          <w:pPr>
            <w:pStyle w:val="Footer"/>
            <w:rPr>
              <w:rStyle w:val="PageNumber"/>
            </w:rPr>
          </w:pPr>
        </w:p>
        <w:p w:rsidR="00EC379B" w:rsidRDefault="00365881" w:rsidP="009C1E9A">
          <w:pPr>
            <w:pStyle w:val="Footer"/>
            <w:tabs>
              <w:tab w:val="clear" w:pos="8640"/>
              <w:tab w:val="right" w:pos="9360"/>
            </w:tabs>
            <w:jc w:val="right"/>
          </w:pPr>
        </w:p>
      </w:tc>
    </w:tr>
    <w:tr w:rsidR="009A3AF5" w:rsidTr="009C1E9A">
      <w:trPr>
        <w:cantSplit/>
        <w:trHeight w:val="323"/>
      </w:trPr>
      <w:tc>
        <w:tcPr>
          <w:tcW w:w="0" w:type="pct"/>
          <w:gridSpan w:val="3"/>
        </w:tcPr>
        <w:p w:rsidR="00EC379B" w:rsidRDefault="003658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65881" w:rsidP="009C1E9A">
          <w:pPr>
            <w:pStyle w:val="Footer"/>
            <w:tabs>
              <w:tab w:val="clear" w:pos="8640"/>
              <w:tab w:val="right" w:pos="9360"/>
            </w:tabs>
            <w:jc w:val="center"/>
          </w:pPr>
        </w:p>
      </w:tc>
    </w:tr>
  </w:tbl>
  <w:p w:rsidR="00EC379B" w:rsidRPr="00FF6F72" w:rsidRDefault="0036588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5881">
      <w:r>
        <w:separator/>
      </w:r>
    </w:p>
  </w:footnote>
  <w:footnote w:type="continuationSeparator" w:id="0">
    <w:p w:rsidR="00000000" w:rsidRDefault="0036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5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6565"/>
    <w:multiLevelType w:val="hybridMultilevel"/>
    <w:tmpl w:val="50263DD6"/>
    <w:lvl w:ilvl="0" w:tplc="3766928E">
      <w:start w:val="1"/>
      <w:numFmt w:val="bullet"/>
      <w:lvlText w:val=""/>
      <w:lvlJc w:val="left"/>
      <w:pPr>
        <w:tabs>
          <w:tab w:val="num" w:pos="720"/>
        </w:tabs>
        <w:ind w:left="720" w:hanging="360"/>
      </w:pPr>
      <w:rPr>
        <w:rFonts w:ascii="Symbol" w:hAnsi="Symbol" w:hint="default"/>
      </w:rPr>
    </w:lvl>
    <w:lvl w:ilvl="1" w:tplc="C186B6AC">
      <w:start w:val="1"/>
      <w:numFmt w:val="bullet"/>
      <w:lvlText w:val="o"/>
      <w:lvlJc w:val="left"/>
      <w:pPr>
        <w:ind w:left="1440" w:hanging="360"/>
      </w:pPr>
      <w:rPr>
        <w:rFonts w:ascii="Courier New" w:hAnsi="Courier New" w:cs="Courier New" w:hint="default"/>
      </w:rPr>
    </w:lvl>
    <w:lvl w:ilvl="2" w:tplc="612658AC" w:tentative="1">
      <w:start w:val="1"/>
      <w:numFmt w:val="bullet"/>
      <w:lvlText w:val=""/>
      <w:lvlJc w:val="left"/>
      <w:pPr>
        <w:ind w:left="2160" w:hanging="360"/>
      </w:pPr>
      <w:rPr>
        <w:rFonts w:ascii="Wingdings" w:hAnsi="Wingdings" w:hint="default"/>
      </w:rPr>
    </w:lvl>
    <w:lvl w:ilvl="3" w:tplc="25325154" w:tentative="1">
      <w:start w:val="1"/>
      <w:numFmt w:val="bullet"/>
      <w:lvlText w:val=""/>
      <w:lvlJc w:val="left"/>
      <w:pPr>
        <w:ind w:left="2880" w:hanging="360"/>
      </w:pPr>
      <w:rPr>
        <w:rFonts w:ascii="Symbol" w:hAnsi="Symbol" w:hint="default"/>
      </w:rPr>
    </w:lvl>
    <w:lvl w:ilvl="4" w:tplc="67EEA830" w:tentative="1">
      <w:start w:val="1"/>
      <w:numFmt w:val="bullet"/>
      <w:lvlText w:val="o"/>
      <w:lvlJc w:val="left"/>
      <w:pPr>
        <w:ind w:left="3600" w:hanging="360"/>
      </w:pPr>
      <w:rPr>
        <w:rFonts w:ascii="Courier New" w:hAnsi="Courier New" w:cs="Courier New" w:hint="default"/>
      </w:rPr>
    </w:lvl>
    <w:lvl w:ilvl="5" w:tplc="A58A21C4" w:tentative="1">
      <w:start w:val="1"/>
      <w:numFmt w:val="bullet"/>
      <w:lvlText w:val=""/>
      <w:lvlJc w:val="left"/>
      <w:pPr>
        <w:ind w:left="4320" w:hanging="360"/>
      </w:pPr>
      <w:rPr>
        <w:rFonts w:ascii="Wingdings" w:hAnsi="Wingdings" w:hint="default"/>
      </w:rPr>
    </w:lvl>
    <w:lvl w:ilvl="6" w:tplc="B3CC0976" w:tentative="1">
      <w:start w:val="1"/>
      <w:numFmt w:val="bullet"/>
      <w:lvlText w:val=""/>
      <w:lvlJc w:val="left"/>
      <w:pPr>
        <w:ind w:left="5040" w:hanging="360"/>
      </w:pPr>
      <w:rPr>
        <w:rFonts w:ascii="Symbol" w:hAnsi="Symbol" w:hint="default"/>
      </w:rPr>
    </w:lvl>
    <w:lvl w:ilvl="7" w:tplc="43B6FA8A" w:tentative="1">
      <w:start w:val="1"/>
      <w:numFmt w:val="bullet"/>
      <w:lvlText w:val="o"/>
      <w:lvlJc w:val="left"/>
      <w:pPr>
        <w:ind w:left="5760" w:hanging="360"/>
      </w:pPr>
      <w:rPr>
        <w:rFonts w:ascii="Courier New" w:hAnsi="Courier New" w:cs="Courier New" w:hint="default"/>
      </w:rPr>
    </w:lvl>
    <w:lvl w:ilvl="8" w:tplc="388CD5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F5"/>
    <w:rsid w:val="00365881"/>
    <w:rsid w:val="009A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1C73E-33F0-4224-ADA9-5176ECE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0C85"/>
    <w:rPr>
      <w:sz w:val="16"/>
      <w:szCs w:val="16"/>
    </w:rPr>
  </w:style>
  <w:style w:type="paragraph" w:styleId="CommentText">
    <w:name w:val="annotation text"/>
    <w:basedOn w:val="Normal"/>
    <w:link w:val="CommentTextChar"/>
    <w:semiHidden/>
    <w:unhideWhenUsed/>
    <w:rsid w:val="00B10C85"/>
    <w:rPr>
      <w:sz w:val="20"/>
      <w:szCs w:val="20"/>
    </w:rPr>
  </w:style>
  <w:style w:type="character" w:customStyle="1" w:styleId="CommentTextChar">
    <w:name w:val="Comment Text Char"/>
    <w:basedOn w:val="DefaultParagraphFont"/>
    <w:link w:val="CommentText"/>
    <w:semiHidden/>
    <w:rsid w:val="00B10C85"/>
  </w:style>
  <w:style w:type="paragraph" w:styleId="CommentSubject">
    <w:name w:val="annotation subject"/>
    <w:basedOn w:val="CommentText"/>
    <w:next w:val="CommentText"/>
    <w:link w:val="CommentSubjectChar"/>
    <w:semiHidden/>
    <w:unhideWhenUsed/>
    <w:rsid w:val="00B10C85"/>
    <w:rPr>
      <w:b/>
      <w:bCs/>
    </w:rPr>
  </w:style>
  <w:style w:type="character" w:customStyle="1" w:styleId="CommentSubjectChar">
    <w:name w:val="Comment Subject Char"/>
    <w:basedOn w:val="CommentTextChar"/>
    <w:link w:val="CommentSubject"/>
    <w:semiHidden/>
    <w:rsid w:val="00B10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2542</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BA - SB01512 (Committee Report (Unamended))</vt:lpstr>
    </vt:vector>
  </TitlesOfParts>
  <Company>State of Texas</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31589</dc:subject>
  <dc:creator>State of Texas</dc:creator>
  <dc:description>SB 1512 by Flores-(H)Transportation</dc:description>
  <cp:lastModifiedBy>Erin Conway</cp:lastModifiedBy>
  <cp:revision>2</cp:revision>
  <cp:lastPrinted>2003-11-26T17:21:00Z</cp:lastPrinted>
  <dcterms:created xsi:type="dcterms:W3CDTF">2019-05-07T18:00:00Z</dcterms:created>
  <dcterms:modified xsi:type="dcterms:W3CDTF">2019-05-07T18:00:00Z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19.123.555</vt:lpwstr>
  </property>
</Properties>
</file>