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B4140" w:rsidTr="00345119">
        <w:tc>
          <w:tcPr>
            <w:tcW w:w="9576" w:type="dxa"/>
            <w:noWrap/>
          </w:tcPr>
          <w:p w:rsidR="008423E4" w:rsidRPr="0022177D" w:rsidRDefault="00577A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7A85" w:rsidP="008423E4">
      <w:pPr>
        <w:jc w:val="center"/>
      </w:pPr>
    </w:p>
    <w:p w:rsidR="008423E4" w:rsidRPr="00B31F0E" w:rsidRDefault="00577A85" w:rsidP="008423E4"/>
    <w:p w:rsidR="008423E4" w:rsidRPr="00742794" w:rsidRDefault="00577A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4140" w:rsidTr="00345119">
        <w:tc>
          <w:tcPr>
            <w:tcW w:w="9576" w:type="dxa"/>
          </w:tcPr>
          <w:p w:rsidR="008423E4" w:rsidRPr="00861995" w:rsidRDefault="00577A85" w:rsidP="00345119">
            <w:pPr>
              <w:jc w:val="right"/>
            </w:pPr>
            <w:r>
              <w:t>C.S.S.B. 1535</w:t>
            </w:r>
          </w:p>
        </w:tc>
      </w:tr>
      <w:tr w:rsidR="002B4140" w:rsidTr="00345119">
        <w:tc>
          <w:tcPr>
            <w:tcW w:w="9576" w:type="dxa"/>
          </w:tcPr>
          <w:p w:rsidR="008423E4" w:rsidRPr="00861995" w:rsidRDefault="00577A85" w:rsidP="00013822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2B4140" w:rsidTr="00345119">
        <w:tc>
          <w:tcPr>
            <w:tcW w:w="9576" w:type="dxa"/>
          </w:tcPr>
          <w:p w:rsidR="008423E4" w:rsidRPr="00861995" w:rsidRDefault="00577A85" w:rsidP="00345119">
            <w:pPr>
              <w:jc w:val="right"/>
            </w:pPr>
            <w:r>
              <w:t>Human Services</w:t>
            </w:r>
          </w:p>
        </w:tc>
      </w:tr>
      <w:tr w:rsidR="002B4140" w:rsidTr="00345119">
        <w:tc>
          <w:tcPr>
            <w:tcW w:w="9576" w:type="dxa"/>
          </w:tcPr>
          <w:p w:rsidR="008423E4" w:rsidRDefault="00577A8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7A85" w:rsidP="008423E4">
      <w:pPr>
        <w:tabs>
          <w:tab w:val="right" w:pos="9360"/>
        </w:tabs>
      </w:pPr>
    </w:p>
    <w:p w:rsidR="008423E4" w:rsidRDefault="00577A85" w:rsidP="008423E4"/>
    <w:p w:rsidR="008423E4" w:rsidRDefault="00577A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B4140" w:rsidTr="00345119">
        <w:tc>
          <w:tcPr>
            <w:tcW w:w="9576" w:type="dxa"/>
          </w:tcPr>
          <w:p w:rsidR="008423E4" w:rsidRPr="00A8133F" w:rsidRDefault="00577A85" w:rsidP="00837D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7A85" w:rsidP="00837D38"/>
          <w:p w:rsidR="008423E4" w:rsidRDefault="00577A85" w:rsidP="00837D38">
            <w:pPr>
              <w:pStyle w:val="Header"/>
              <w:jc w:val="both"/>
            </w:pPr>
            <w:r>
              <w:t>There have been calls for the state to implement a complaint process that better protects the rights of child</w:t>
            </w:r>
            <w:r>
              <w:t>ren</w:t>
            </w:r>
            <w:r>
              <w:t xml:space="preserve"> and youth in the conservatorship of the Department of Family and Protective Services</w:t>
            </w:r>
            <w:r>
              <w:t xml:space="preserve">. </w:t>
            </w:r>
            <w:r>
              <w:t>C.S.S.B.</w:t>
            </w:r>
            <w:r>
              <w:t xml:space="preserve"> 1535 seeks to provide for such a complaint process whereby the child or youth may file a complaint directly with </w:t>
            </w:r>
            <w:r>
              <w:t xml:space="preserve">the ombudsman for the </w:t>
            </w:r>
            <w:r>
              <w:t>Health and Human Services</w:t>
            </w:r>
            <w:r>
              <w:t xml:space="preserve"> Commission.</w:t>
            </w:r>
          </w:p>
          <w:p w:rsidR="008423E4" w:rsidRPr="00E26B13" w:rsidRDefault="00577A85" w:rsidP="00837D38">
            <w:pPr>
              <w:rPr>
                <w:b/>
              </w:rPr>
            </w:pPr>
          </w:p>
        </w:tc>
      </w:tr>
      <w:tr w:rsidR="002B4140" w:rsidTr="00345119">
        <w:tc>
          <w:tcPr>
            <w:tcW w:w="9576" w:type="dxa"/>
          </w:tcPr>
          <w:p w:rsidR="0017725B" w:rsidRDefault="00577A85" w:rsidP="00837D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7A85" w:rsidP="00837D38">
            <w:pPr>
              <w:rPr>
                <w:b/>
                <w:u w:val="single"/>
              </w:rPr>
            </w:pPr>
          </w:p>
          <w:p w:rsidR="0062317A" w:rsidRPr="0062317A" w:rsidRDefault="00577A85" w:rsidP="00837D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577A85" w:rsidP="00837D38">
            <w:pPr>
              <w:rPr>
                <w:b/>
                <w:u w:val="single"/>
              </w:rPr>
            </w:pPr>
          </w:p>
        </w:tc>
      </w:tr>
      <w:tr w:rsidR="002B4140" w:rsidTr="00345119">
        <w:tc>
          <w:tcPr>
            <w:tcW w:w="9576" w:type="dxa"/>
          </w:tcPr>
          <w:p w:rsidR="008423E4" w:rsidRPr="00A8133F" w:rsidRDefault="00577A85" w:rsidP="00837D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7A85" w:rsidP="00837D38"/>
          <w:p w:rsidR="0062317A" w:rsidRDefault="00577A85" w:rsidP="00837D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7A85" w:rsidP="00837D38">
            <w:pPr>
              <w:rPr>
                <w:b/>
              </w:rPr>
            </w:pPr>
          </w:p>
        </w:tc>
      </w:tr>
      <w:tr w:rsidR="002B4140" w:rsidTr="00345119">
        <w:tc>
          <w:tcPr>
            <w:tcW w:w="9576" w:type="dxa"/>
          </w:tcPr>
          <w:p w:rsidR="008423E4" w:rsidRPr="00A8133F" w:rsidRDefault="00577A85" w:rsidP="00837D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7A85" w:rsidP="00837D38"/>
          <w:p w:rsidR="008423E4" w:rsidRDefault="00577A85" w:rsidP="00837D38">
            <w:pPr>
              <w:pStyle w:val="Header"/>
              <w:jc w:val="both"/>
            </w:pPr>
            <w:r>
              <w:t>C.S.S.B.</w:t>
            </w:r>
            <w:r>
              <w:t xml:space="preserve"> 1535 amends the </w:t>
            </w:r>
            <w:r>
              <w:t>Government</w:t>
            </w:r>
            <w:r>
              <w:t xml:space="preserve"> Code to authorize a child </w:t>
            </w:r>
            <w:r w:rsidRPr="00340B63">
              <w:t xml:space="preserve">or youth in the conservatorship of the </w:t>
            </w:r>
            <w:r>
              <w:t>Department of Family and Protective Services (DFPS)</w:t>
            </w:r>
            <w:r w:rsidRPr="00340B63">
              <w:t xml:space="preserve"> </w:t>
            </w:r>
            <w:r>
              <w:t>to</w:t>
            </w:r>
            <w:r w:rsidRPr="00340B63">
              <w:t xml:space="preserve"> file a complaint directly with the </w:t>
            </w:r>
            <w:r>
              <w:t>ombudsman</w:t>
            </w:r>
            <w:r>
              <w:t xml:space="preserve"> </w:t>
            </w:r>
            <w:r w:rsidRPr="008E072E">
              <w:t>for the Health and Human Services Commission</w:t>
            </w:r>
            <w:r>
              <w:t xml:space="preserve"> (HHSC)</w:t>
            </w:r>
            <w:r>
              <w:t>, re</w:t>
            </w:r>
            <w:r>
              <w:t xml:space="preserve">gardless of whether the child or youth is served directly by DFPS </w:t>
            </w:r>
            <w:r w:rsidRPr="00783B2B">
              <w:t>or by a single source continuum contra</w:t>
            </w:r>
            <w:r>
              <w:t>ctor providing</w:t>
            </w:r>
            <w:r>
              <w:t xml:space="preserve"> community-based care </w:t>
            </w:r>
            <w:r>
              <w:t>services for DFPS</w:t>
            </w:r>
            <w:r w:rsidRPr="00340B63">
              <w:t>.</w:t>
            </w:r>
            <w:r>
              <w:t xml:space="preserve"> </w:t>
            </w:r>
          </w:p>
          <w:p w:rsidR="0060218D" w:rsidRDefault="00577A85" w:rsidP="00837D38">
            <w:pPr>
              <w:pStyle w:val="Header"/>
              <w:jc w:val="both"/>
            </w:pPr>
          </w:p>
          <w:p w:rsidR="00783B2B" w:rsidRDefault="00577A85" w:rsidP="00837D38">
            <w:pPr>
              <w:pStyle w:val="Header"/>
              <w:jc w:val="both"/>
            </w:pPr>
            <w:r>
              <w:t>C.S.S.B.</w:t>
            </w:r>
            <w:r>
              <w:t xml:space="preserve"> 1535 </w:t>
            </w:r>
            <w:r>
              <w:t>requires the ombudsman, not later than the fifth day of each month, to compile an</w:t>
            </w:r>
            <w:r>
              <w:t xml:space="preserve">d provide to DFPS and the </w:t>
            </w:r>
            <w:r>
              <w:t xml:space="preserve">HHSC </w:t>
            </w:r>
            <w:r>
              <w:t>child care licensing division a written report regarding the investigations</w:t>
            </w:r>
            <w:r>
              <w:t xml:space="preserve"> of complaints</w:t>
            </w:r>
            <w:r>
              <w:t xml:space="preserve"> completed during the preceding month. The bill requires the report, for each complaint investigated, to include a summary of the compla</w:t>
            </w:r>
            <w:r>
              <w:t xml:space="preserve">int, the ombudsman's final determination, and any corrective action recommended by the ombudsman. </w:t>
            </w:r>
          </w:p>
          <w:p w:rsidR="00783B2B" w:rsidRDefault="00577A85" w:rsidP="00837D38">
            <w:pPr>
              <w:pStyle w:val="Header"/>
              <w:jc w:val="both"/>
            </w:pPr>
          </w:p>
          <w:p w:rsidR="0060218D" w:rsidRDefault="00577A85" w:rsidP="00837D38">
            <w:pPr>
              <w:pStyle w:val="Header"/>
              <w:jc w:val="both"/>
            </w:pPr>
            <w:r>
              <w:t xml:space="preserve">C.S.S.B. 1535 requires DFPS or the child care licensing division, as applicable, to </w:t>
            </w:r>
            <w:r w:rsidRPr="0060218D">
              <w:t xml:space="preserve">provide written notice </w:t>
            </w:r>
            <w:r>
              <w:t xml:space="preserve">to the ombudsman on whether DFPS </w:t>
            </w:r>
            <w:r w:rsidRPr="0060218D">
              <w:t xml:space="preserve">or </w:t>
            </w:r>
            <w:r>
              <w:t xml:space="preserve">the </w:t>
            </w:r>
            <w:r w:rsidRPr="0060218D">
              <w:t xml:space="preserve">division </w:t>
            </w:r>
            <w:r w:rsidRPr="0060218D">
              <w:t>adopted or rejected any of the ombudsman's recommended corrective actions</w:t>
            </w:r>
            <w:r>
              <w:t xml:space="preserve"> regarding the ombudsman's determination of any wrongdoing or negligence of DFPS or a DFPS agent</w:t>
            </w:r>
            <w:r w:rsidRPr="0060218D">
              <w:t xml:space="preserve">. </w:t>
            </w:r>
            <w:r>
              <w:t>The bill requires DFPS or the division</w:t>
            </w:r>
            <w:r>
              <w:t xml:space="preserve"> </w:t>
            </w:r>
            <w:r>
              <w:t xml:space="preserve">to </w:t>
            </w:r>
            <w:r w:rsidRPr="0060218D">
              <w:t>include in the notice the reason for reject</w:t>
            </w:r>
            <w:r w:rsidRPr="0060218D">
              <w:t>i</w:t>
            </w:r>
            <w:r>
              <w:t>ng a recommended corrective action, if one is rejected</w:t>
            </w:r>
            <w:r w:rsidRPr="0060218D">
              <w:t>.</w:t>
            </w:r>
          </w:p>
          <w:p w:rsidR="0060218D" w:rsidRDefault="00577A85" w:rsidP="00837D38">
            <w:pPr>
              <w:pStyle w:val="Header"/>
              <w:jc w:val="both"/>
            </w:pPr>
          </w:p>
          <w:p w:rsidR="000721B8" w:rsidRDefault="00577A85" w:rsidP="00837D38">
            <w:pPr>
              <w:pStyle w:val="Header"/>
              <w:jc w:val="both"/>
            </w:pPr>
            <w:r>
              <w:t>C.S.S.B.</w:t>
            </w:r>
            <w:r>
              <w:t xml:space="preserve"> 1535 </w:t>
            </w:r>
            <w:r>
              <w:t xml:space="preserve">amends the Family Code to </w:t>
            </w:r>
            <w:r>
              <w:t>make it the policy of the state that</w:t>
            </w:r>
            <w:r>
              <w:t xml:space="preserve"> each child in foster care be informed of</w:t>
            </w:r>
            <w:r>
              <w:t xml:space="preserve"> </w:t>
            </w:r>
            <w:r>
              <w:t>the</w:t>
            </w:r>
            <w:r>
              <w:t xml:space="preserve"> child's rights provided by state or federal law or policy </w:t>
            </w:r>
            <w:r>
              <w:t xml:space="preserve">that </w:t>
            </w:r>
            <w:r>
              <w:t>relat</w:t>
            </w:r>
            <w:r>
              <w:t>e</w:t>
            </w:r>
            <w:r>
              <w:t xml:space="preserve"> to the</w:t>
            </w:r>
            <w:r>
              <w:t xml:space="preserve"> </w:t>
            </w:r>
            <w:r w:rsidRPr="00856C67">
              <w:t>notificati</w:t>
            </w:r>
            <w:r>
              <w:t xml:space="preserve">on of the outcome of </w:t>
            </w:r>
            <w:r>
              <w:t>any of the following investigations in which the child is involved:</w:t>
            </w:r>
          </w:p>
          <w:p w:rsidR="000721B8" w:rsidRDefault="00577A85" w:rsidP="00837D3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an abuse or neglect investigation conducted by DFPS; </w:t>
            </w:r>
          </w:p>
          <w:p w:rsidR="000721B8" w:rsidRDefault="00577A85" w:rsidP="00837D3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minimum standard investigation conducted by HHSC; or </w:t>
            </w:r>
          </w:p>
          <w:p w:rsidR="0060218D" w:rsidRDefault="00577A85" w:rsidP="00837D3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an investigation of a complaint to the division of the ombudsman </w:t>
            </w:r>
            <w:r>
              <w:t xml:space="preserve">for </w:t>
            </w:r>
            <w:r>
              <w:t>children and youth in foster care</w:t>
            </w:r>
            <w:r>
              <w:t>.</w:t>
            </w:r>
          </w:p>
          <w:p w:rsidR="008423E4" w:rsidRPr="00835628" w:rsidRDefault="00577A85" w:rsidP="00837D38">
            <w:pPr>
              <w:rPr>
                <w:b/>
              </w:rPr>
            </w:pPr>
          </w:p>
        </w:tc>
      </w:tr>
      <w:tr w:rsidR="002B4140" w:rsidTr="00345119">
        <w:tc>
          <w:tcPr>
            <w:tcW w:w="9576" w:type="dxa"/>
          </w:tcPr>
          <w:p w:rsidR="008423E4" w:rsidRPr="00A8133F" w:rsidRDefault="00577A85" w:rsidP="00837D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7A85" w:rsidP="00837D38"/>
          <w:p w:rsidR="008423E4" w:rsidRPr="003624F2" w:rsidRDefault="00577A85" w:rsidP="00837D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77A85" w:rsidP="00837D38">
            <w:pPr>
              <w:rPr>
                <w:b/>
              </w:rPr>
            </w:pPr>
          </w:p>
        </w:tc>
      </w:tr>
      <w:tr w:rsidR="002B4140" w:rsidTr="00345119">
        <w:tc>
          <w:tcPr>
            <w:tcW w:w="9576" w:type="dxa"/>
          </w:tcPr>
          <w:p w:rsidR="00013822" w:rsidRDefault="00577A85" w:rsidP="00837D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B515E4" w:rsidRDefault="00577A85" w:rsidP="00837D38">
            <w:pPr>
              <w:jc w:val="both"/>
            </w:pPr>
          </w:p>
          <w:p w:rsidR="00B515E4" w:rsidRDefault="00577A85" w:rsidP="00837D38">
            <w:pPr>
              <w:jc w:val="both"/>
            </w:pPr>
            <w:r>
              <w:t>While C.S.S.B. 1535 may differ from the engrossed in minor or nonsubstantive ways, the following summarizes the substantial differences between the engrossed and committee substitute versions of the bill.</w:t>
            </w:r>
          </w:p>
          <w:p w:rsidR="00B515E4" w:rsidRDefault="00577A85" w:rsidP="00837D38">
            <w:pPr>
              <w:jc w:val="both"/>
            </w:pPr>
          </w:p>
          <w:p w:rsidR="00BE77DC" w:rsidRDefault="00577A85" w:rsidP="00837D38">
            <w:pPr>
              <w:jc w:val="both"/>
            </w:pPr>
            <w:r>
              <w:t xml:space="preserve">The substitute </w:t>
            </w:r>
            <w:r>
              <w:t>does not include provisions relatin</w:t>
            </w:r>
            <w:r>
              <w:t xml:space="preserve">g to </w:t>
            </w:r>
            <w:r>
              <w:t>a</w:t>
            </w:r>
            <w:r>
              <w:t xml:space="preserve"> complaint process </w:t>
            </w:r>
            <w:r>
              <w:t xml:space="preserve">for a child or youth in DFPS conservatorship </w:t>
            </w:r>
            <w:r>
              <w:t xml:space="preserve">who is served by a single source continuum contractor. The bill includes </w:t>
            </w:r>
            <w:r>
              <w:t xml:space="preserve">a </w:t>
            </w:r>
            <w:r>
              <w:t>provision that authorize</w:t>
            </w:r>
            <w:r>
              <w:t>s</w:t>
            </w:r>
            <w:r>
              <w:t xml:space="preserve"> such a child or youth </w:t>
            </w:r>
            <w:r>
              <w:t xml:space="preserve">instead </w:t>
            </w:r>
            <w:r>
              <w:t xml:space="preserve">to file a complaint with the </w:t>
            </w:r>
            <w:r>
              <w:t xml:space="preserve">division of the ombudsman </w:t>
            </w:r>
            <w:r>
              <w:t>for children and youth in foster care</w:t>
            </w:r>
            <w:r>
              <w:t xml:space="preserve">, </w:t>
            </w:r>
            <w:r>
              <w:t xml:space="preserve">regardless of whether the child or youth is served directly by DFPS or by </w:t>
            </w:r>
            <w:r>
              <w:t xml:space="preserve">such </w:t>
            </w:r>
            <w:r>
              <w:t>a contractor.</w:t>
            </w:r>
          </w:p>
          <w:p w:rsidR="00BE77DC" w:rsidRDefault="00577A85" w:rsidP="00837D38">
            <w:pPr>
              <w:jc w:val="both"/>
            </w:pPr>
          </w:p>
          <w:p w:rsidR="001E28F6" w:rsidRDefault="00577A85" w:rsidP="00837D38">
            <w:pPr>
              <w:jc w:val="both"/>
            </w:pPr>
            <w:r>
              <w:t xml:space="preserve">The substitute includes a </w:t>
            </w:r>
            <w:r>
              <w:t xml:space="preserve">provision </w:t>
            </w:r>
            <w:r>
              <w:t>requir</w:t>
            </w:r>
            <w:r>
              <w:t>ing</w:t>
            </w:r>
            <w:r>
              <w:t xml:space="preserve"> the ombudsman to compile and provide to DFPS and the child care licensing div</w:t>
            </w:r>
            <w:r>
              <w:t xml:space="preserve">ision of HHSC a written report regarding completed investigations. </w:t>
            </w:r>
          </w:p>
          <w:p w:rsidR="001E28F6" w:rsidRDefault="00577A85" w:rsidP="00837D38">
            <w:pPr>
              <w:jc w:val="both"/>
            </w:pPr>
          </w:p>
          <w:p w:rsidR="00BE77DC" w:rsidRDefault="00577A85" w:rsidP="00837D38">
            <w:pPr>
              <w:jc w:val="both"/>
            </w:pPr>
            <w:r>
              <w:t xml:space="preserve">The substitute revises the requirement </w:t>
            </w:r>
            <w:r>
              <w:t xml:space="preserve">for DFPS and </w:t>
            </w:r>
            <w:r>
              <w:t xml:space="preserve">the </w:t>
            </w:r>
            <w:r>
              <w:t>licensing division to provide written notice to the ombudsman on any decision regarding the ombudsman's recommended corrective acti</w:t>
            </w:r>
            <w:r>
              <w:t xml:space="preserve">ons </w:t>
            </w:r>
            <w:r>
              <w:t>to require</w:t>
            </w:r>
            <w:r>
              <w:t xml:space="preserve"> </w:t>
            </w:r>
            <w:r>
              <w:t xml:space="preserve">only </w:t>
            </w:r>
            <w:r>
              <w:t>DFPS or the licensing division, as applicable, to provide such notice.</w:t>
            </w:r>
          </w:p>
          <w:p w:rsidR="00B515E4" w:rsidRPr="00B515E4" w:rsidRDefault="00577A85" w:rsidP="00837D38">
            <w:pPr>
              <w:jc w:val="both"/>
            </w:pPr>
          </w:p>
        </w:tc>
      </w:tr>
      <w:tr w:rsidR="002B4140" w:rsidTr="00345119">
        <w:tc>
          <w:tcPr>
            <w:tcW w:w="9576" w:type="dxa"/>
          </w:tcPr>
          <w:p w:rsidR="00013822" w:rsidRPr="009C1E9A" w:rsidRDefault="00577A85" w:rsidP="00837D38">
            <w:pPr>
              <w:rPr>
                <w:b/>
                <w:u w:val="single"/>
              </w:rPr>
            </w:pPr>
          </w:p>
        </w:tc>
      </w:tr>
      <w:tr w:rsidR="002B4140" w:rsidTr="00345119">
        <w:tc>
          <w:tcPr>
            <w:tcW w:w="9576" w:type="dxa"/>
          </w:tcPr>
          <w:p w:rsidR="00013822" w:rsidRPr="00013822" w:rsidRDefault="00577A85" w:rsidP="00837D38">
            <w:pPr>
              <w:jc w:val="both"/>
            </w:pPr>
          </w:p>
        </w:tc>
      </w:tr>
    </w:tbl>
    <w:p w:rsidR="008423E4" w:rsidRPr="00BE0E75" w:rsidRDefault="00577A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7A8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7A85">
      <w:r>
        <w:separator/>
      </w:r>
    </w:p>
  </w:endnote>
  <w:endnote w:type="continuationSeparator" w:id="0">
    <w:p w:rsidR="00000000" w:rsidRDefault="0057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4140" w:rsidTr="009C1E9A">
      <w:trPr>
        <w:cantSplit/>
      </w:trPr>
      <w:tc>
        <w:tcPr>
          <w:tcW w:w="0" w:type="pct"/>
        </w:tcPr>
        <w:p w:rsidR="00137D90" w:rsidRDefault="00577A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7A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7A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7A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7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140" w:rsidTr="009C1E9A">
      <w:trPr>
        <w:cantSplit/>
      </w:trPr>
      <w:tc>
        <w:tcPr>
          <w:tcW w:w="0" w:type="pct"/>
        </w:tcPr>
        <w:p w:rsidR="00EC379B" w:rsidRDefault="00577A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7A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33290</w:t>
          </w:r>
        </w:p>
      </w:tc>
      <w:tc>
        <w:tcPr>
          <w:tcW w:w="2453" w:type="pct"/>
        </w:tcPr>
        <w:p w:rsidR="00EC379B" w:rsidRDefault="00577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19.130.663</w:t>
          </w:r>
          <w:r>
            <w:fldChar w:fldCharType="end"/>
          </w:r>
        </w:p>
      </w:tc>
    </w:tr>
    <w:tr w:rsidR="002B4140" w:rsidTr="009C1E9A">
      <w:trPr>
        <w:cantSplit/>
      </w:trPr>
      <w:tc>
        <w:tcPr>
          <w:tcW w:w="0" w:type="pct"/>
        </w:tcPr>
        <w:p w:rsidR="00EC379B" w:rsidRDefault="00577A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7A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32859</w:t>
          </w:r>
        </w:p>
      </w:tc>
      <w:tc>
        <w:tcPr>
          <w:tcW w:w="2453" w:type="pct"/>
        </w:tcPr>
        <w:p w:rsidR="00EC379B" w:rsidRDefault="00577A85" w:rsidP="006D504F">
          <w:pPr>
            <w:pStyle w:val="Footer"/>
            <w:rPr>
              <w:rStyle w:val="PageNumber"/>
            </w:rPr>
          </w:pPr>
        </w:p>
        <w:p w:rsidR="00EC379B" w:rsidRDefault="00577A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1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7A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77A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7A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7A85">
      <w:r>
        <w:separator/>
      </w:r>
    </w:p>
  </w:footnote>
  <w:footnote w:type="continuationSeparator" w:id="0">
    <w:p w:rsidR="00000000" w:rsidRDefault="0057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3042"/>
    <w:multiLevelType w:val="hybridMultilevel"/>
    <w:tmpl w:val="3724EDDC"/>
    <w:lvl w:ilvl="0" w:tplc="6EAAF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A4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2B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06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D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CD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04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C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04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750"/>
    <w:multiLevelType w:val="hybridMultilevel"/>
    <w:tmpl w:val="A10E3A66"/>
    <w:lvl w:ilvl="0" w:tplc="1C8C7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2B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E4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07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01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8D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4B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0B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E9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0"/>
    <w:rsid w:val="002B4140"/>
    <w:rsid w:val="005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6F555-68CF-456D-B467-F05B927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5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57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3443</Characters>
  <Application>Microsoft Office Word</Application>
  <DocSecurity>4</DocSecurity>
  <Lines>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SB01535 (Committee Report (Substituted))</vt:lpstr>
    </vt:vector>
  </TitlesOfParts>
  <Company>State of Texas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33290</dc:subject>
  <dc:creator>State of Texas</dc:creator>
  <dc:description>SB 1535 by Menéndez-(H)Human Services (Substitute Document Number: 86R 32859)</dc:description>
  <cp:lastModifiedBy>Scotty Wimberley</cp:lastModifiedBy>
  <cp:revision>2</cp:revision>
  <cp:lastPrinted>2003-11-26T17:21:00Z</cp:lastPrinted>
  <dcterms:created xsi:type="dcterms:W3CDTF">2019-05-13T15:40:00Z</dcterms:created>
  <dcterms:modified xsi:type="dcterms:W3CDTF">2019-05-13T15:40:00Z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19.130.663</vt:lpwstr>
  </property>
</Properties>
</file>