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553A2" w:rsidTr="00345119">
        <w:tc>
          <w:tcPr>
            <w:tcW w:w="9576" w:type="dxa"/>
            <w:noWrap/>
          </w:tcPr>
          <w:p w:rsidR="008423E4" w:rsidRPr="0022177D" w:rsidRDefault="00054BC0" w:rsidP="00345119">
            <w:pPr>
              <w:pStyle w:val="Heading1"/>
            </w:pPr>
            <w:bookmarkStart w:id="0" w:name="_GoBack"/>
            <w:bookmarkEnd w:id="0"/>
            <w:r w:rsidRPr="00631897">
              <w:t>BILL ANALYSIS</w:t>
            </w:r>
          </w:p>
        </w:tc>
      </w:tr>
    </w:tbl>
    <w:p w:rsidR="008423E4" w:rsidRPr="0022177D" w:rsidRDefault="00054BC0" w:rsidP="008423E4">
      <w:pPr>
        <w:jc w:val="center"/>
      </w:pPr>
    </w:p>
    <w:p w:rsidR="008423E4" w:rsidRPr="00B31F0E" w:rsidRDefault="00054BC0" w:rsidP="008423E4"/>
    <w:p w:rsidR="008423E4" w:rsidRPr="00742794" w:rsidRDefault="00054BC0" w:rsidP="008423E4">
      <w:pPr>
        <w:tabs>
          <w:tab w:val="right" w:pos="9360"/>
        </w:tabs>
      </w:pPr>
    </w:p>
    <w:tbl>
      <w:tblPr>
        <w:tblW w:w="0" w:type="auto"/>
        <w:tblLayout w:type="fixed"/>
        <w:tblLook w:val="01E0" w:firstRow="1" w:lastRow="1" w:firstColumn="1" w:lastColumn="1" w:noHBand="0" w:noVBand="0"/>
      </w:tblPr>
      <w:tblGrid>
        <w:gridCol w:w="9576"/>
      </w:tblGrid>
      <w:tr w:rsidR="00B553A2" w:rsidTr="00345119">
        <w:tc>
          <w:tcPr>
            <w:tcW w:w="9576" w:type="dxa"/>
          </w:tcPr>
          <w:p w:rsidR="008423E4" w:rsidRPr="00861995" w:rsidRDefault="00054BC0" w:rsidP="00345119">
            <w:pPr>
              <w:jc w:val="right"/>
            </w:pPr>
            <w:r>
              <w:t>S.B. 1552</w:t>
            </w:r>
          </w:p>
        </w:tc>
      </w:tr>
      <w:tr w:rsidR="00B553A2" w:rsidTr="00345119">
        <w:tc>
          <w:tcPr>
            <w:tcW w:w="9576" w:type="dxa"/>
          </w:tcPr>
          <w:p w:rsidR="008423E4" w:rsidRPr="00861995" w:rsidRDefault="00054BC0" w:rsidP="00345119">
            <w:pPr>
              <w:jc w:val="right"/>
            </w:pPr>
            <w:r>
              <w:t xml:space="preserve">By: </w:t>
            </w:r>
            <w:r>
              <w:t>Lucio</w:t>
            </w:r>
          </w:p>
        </w:tc>
      </w:tr>
      <w:tr w:rsidR="00B553A2" w:rsidTr="00345119">
        <w:tc>
          <w:tcPr>
            <w:tcW w:w="9576" w:type="dxa"/>
          </w:tcPr>
          <w:p w:rsidR="008423E4" w:rsidRPr="00861995" w:rsidRDefault="00054BC0" w:rsidP="00345119">
            <w:pPr>
              <w:jc w:val="right"/>
            </w:pPr>
            <w:r>
              <w:t>Human Services</w:t>
            </w:r>
          </w:p>
        </w:tc>
      </w:tr>
      <w:tr w:rsidR="00B553A2" w:rsidTr="00345119">
        <w:tc>
          <w:tcPr>
            <w:tcW w:w="9576" w:type="dxa"/>
          </w:tcPr>
          <w:p w:rsidR="008423E4" w:rsidRDefault="00054BC0" w:rsidP="00345119">
            <w:pPr>
              <w:jc w:val="right"/>
            </w:pPr>
            <w:r>
              <w:t>Committee Report (Unamended)</w:t>
            </w:r>
          </w:p>
        </w:tc>
      </w:tr>
    </w:tbl>
    <w:p w:rsidR="008423E4" w:rsidRDefault="00054BC0" w:rsidP="008423E4">
      <w:pPr>
        <w:tabs>
          <w:tab w:val="right" w:pos="9360"/>
        </w:tabs>
      </w:pPr>
    </w:p>
    <w:p w:rsidR="008423E4" w:rsidRDefault="00054BC0" w:rsidP="008423E4"/>
    <w:p w:rsidR="008423E4" w:rsidRDefault="00054BC0" w:rsidP="008423E4"/>
    <w:tbl>
      <w:tblPr>
        <w:tblW w:w="10940" w:type="dxa"/>
        <w:tblLayout w:type="fixed"/>
        <w:tblCellMar>
          <w:left w:w="115" w:type="dxa"/>
          <w:right w:w="115" w:type="dxa"/>
        </w:tblCellMar>
        <w:tblLook w:val="01E0" w:firstRow="1" w:lastRow="1" w:firstColumn="1" w:lastColumn="1" w:noHBand="0" w:noVBand="0"/>
      </w:tblPr>
      <w:tblGrid>
        <w:gridCol w:w="9270"/>
        <w:gridCol w:w="1670"/>
      </w:tblGrid>
      <w:tr w:rsidR="00B553A2" w:rsidTr="00270FFD">
        <w:trPr>
          <w:gridAfter w:val="1"/>
          <w:wAfter w:w="1670" w:type="dxa"/>
        </w:trPr>
        <w:tc>
          <w:tcPr>
            <w:tcW w:w="9270" w:type="dxa"/>
          </w:tcPr>
          <w:p w:rsidR="008423E4" w:rsidRPr="00A8133F" w:rsidRDefault="00054BC0" w:rsidP="002651EA">
            <w:pPr>
              <w:rPr>
                <w:b/>
              </w:rPr>
            </w:pPr>
            <w:r w:rsidRPr="009C1E9A">
              <w:rPr>
                <w:b/>
                <w:u w:val="single"/>
              </w:rPr>
              <w:t>BACKGROUND AND PURPOSE</w:t>
            </w:r>
            <w:r>
              <w:rPr>
                <w:b/>
              </w:rPr>
              <w:t xml:space="preserve"> </w:t>
            </w:r>
          </w:p>
          <w:p w:rsidR="008423E4" w:rsidRDefault="00054BC0" w:rsidP="002651EA"/>
          <w:p w:rsidR="008423E4" w:rsidRDefault="00054BC0" w:rsidP="002651EA">
            <w:pPr>
              <w:pStyle w:val="Header"/>
              <w:tabs>
                <w:tab w:val="clear" w:pos="4320"/>
                <w:tab w:val="clear" w:pos="8640"/>
              </w:tabs>
              <w:jc w:val="both"/>
            </w:pPr>
            <w:r>
              <w:t>Recent reports by the Office of the Independent Ombudsman for State Support</w:t>
            </w:r>
            <w:r>
              <w:t>ed</w:t>
            </w:r>
            <w:r>
              <w:t xml:space="preserve"> Living Centers </w:t>
            </w:r>
            <w:r>
              <w:t xml:space="preserve">have </w:t>
            </w:r>
            <w:r>
              <w:t>highlight</w:t>
            </w:r>
            <w:r>
              <w:t>ed</w:t>
            </w:r>
            <w:r>
              <w:t xml:space="preserve"> </w:t>
            </w:r>
            <w:r>
              <w:t>the lack of local and statewide training requirements for staff at these centers as well as the benefits of specialized training for staff in supporting the needs of center residents. These reports also indicated systemic issues in these centers with regar</w:t>
            </w:r>
            <w:r>
              <w:t xml:space="preserve">d to violations of residents' rights by failing to obtain consent </w:t>
            </w:r>
            <w:r>
              <w:t xml:space="preserve">for the use of restrictions and </w:t>
            </w:r>
            <w:r>
              <w:t xml:space="preserve">related due process issues regarding the </w:t>
            </w:r>
            <w:r>
              <w:t xml:space="preserve">filing </w:t>
            </w:r>
            <w:r>
              <w:t xml:space="preserve">of </w:t>
            </w:r>
            <w:r>
              <w:t>complaints. S.B. 1552 seeks to address these issues by requiring the executive commissioner of the Health a</w:t>
            </w:r>
            <w:r>
              <w:t>nd Human Services Commission to develop processes and procedures that state supported living center staff must follow</w:t>
            </w:r>
            <w:r>
              <w:t xml:space="preserve"> and</w:t>
            </w:r>
            <w:r>
              <w:t xml:space="preserve"> </w:t>
            </w:r>
            <w:r>
              <w:t xml:space="preserve">to </w:t>
            </w:r>
            <w:r>
              <w:t>develop specialized training for such staff.</w:t>
            </w:r>
          </w:p>
          <w:p w:rsidR="008423E4" w:rsidRPr="00E26B13" w:rsidRDefault="00054BC0" w:rsidP="002651EA">
            <w:pPr>
              <w:rPr>
                <w:b/>
              </w:rPr>
            </w:pPr>
          </w:p>
        </w:tc>
      </w:tr>
      <w:tr w:rsidR="00B553A2" w:rsidTr="00270FFD">
        <w:trPr>
          <w:gridAfter w:val="1"/>
          <w:wAfter w:w="1670" w:type="dxa"/>
        </w:trPr>
        <w:tc>
          <w:tcPr>
            <w:tcW w:w="9270" w:type="dxa"/>
          </w:tcPr>
          <w:p w:rsidR="0017725B" w:rsidRDefault="00054BC0" w:rsidP="002651EA">
            <w:pPr>
              <w:rPr>
                <w:b/>
                <w:u w:val="single"/>
              </w:rPr>
            </w:pPr>
            <w:r>
              <w:rPr>
                <w:b/>
                <w:u w:val="single"/>
              </w:rPr>
              <w:t>CRIMINAL JUSTICE IMPACT</w:t>
            </w:r>
          </w:p>
          <w:p w:rsidR="0017725B" w:rsidRDefault="00054BC0" w:rsidP="002651EA">
            <w:pPr>
              <w:rPr>
                <w:b/>
                <w:u w:val="single"/>
              </w:rPr>
            </w:pPr>
          </w:p>
          <w:p w:rsidR="00A04D5E" w:rsidRPr="00A04D5E" w:rsidRDefault="00054BC0" w:rsidP="002651EA">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054BC0" w:rsidP="002651EA">
            <w:pPr>
              <w:rPr>
                <w:b/>
                <w:u w:val="single"/>
              </w:rPr>
            </w:pPr>
          </w:p>
        </w:tc>
      </w:tr>
      <w:tr w:rsidR="00B553A2" w:rsidTr="00270FFD">
        <w:trPr>
          <w:gridAfter w:val="1"/>
          <w:wAfter w:w="1670" w:type="dxa"/>
        </w:trPr>
        <w:tc>
          <w:tcPr>
            <w:tcW w:w="9270" w:type="dxa"/>
          </w:tcPr>
          <w:p w:rsidR="008423E4" w:rsidRPr="00A8133F" w:rsidRDefault="00054BC0" w:rsidP="002651EA">
            <w:pPr>
              <w:rPr>
                <w:b/>
              </w:rPr>
            </w:pPr>
            <w:r w:rsidRPr="009C1E9A">
              <w:rPr>
                <w:b/>
                <w:u w:val="single"/>
              </w:rPr>
              <w:t>RULEMAKING AUTHORITY</w:t>
            </w:r>
            <w:r>
              <w:rPr>
                <w:b/>
              </w:rPr>
              <w:t xml:space="preserve"> </w:t>
            </w:r>
          </w:p>
          <w:p w:rsidR="008423E4" w:rsidRDefault="00054BC0" w:rsidP="002651EA"/>
          <w:p w:rsidR="00A04D5E" w:rsidRDefault="00054BC0" w:rsidP="002651EA">
            <w:pPr>
              <w:pStyle w:val="Header"/>
              <w:tabs>
                <w:tab w:val="clear" w:pos="4320"/>
                <w:tab w:val="clear" w:pos="8640"/>
              </w:tabs>
              <w:jc w:val="both"/>
            </w:pPr>
            <w:r>
              <w:t xml:space="preserve">It is the </w:t>
            </w:r>
            <w:r>
              <w:t>committee's opinion that rulemaking authority is expressly granted to the executive commissioner of the Health and Human Services Commission in SECTION 2</w:t>
            </w:r>
            <w:r>
              <w:t xml:space="preserve"> </w:t>
            </w:r>
            <w:r>
              <w:t>of this bill.</w:t>
            </w:r>
          </w:p>
          <w:p w:rsidR="008423E4" w:rsidRPr="00E21FDC" w:rsidRDefault="00054BC0" w:rsidP="002651EA">
            <w:pPr>
              <w:rPr>
                <w:b/>
              </w:rPr>
            </w:pPr>
          </w:p>
        </w:tc>
      </w:tr>
      <w:tr w:rsidR="00B553A2" w:rsidTr="00270FFD">
        <w:tc>
          <w:tcPr>
            <w:tcW w:w="9270" w:type="dxa"/>
          </w:tcPr>
          <w:p w:rsidR="008423E4" w:rsidRPr="00A8133F" w:rsidRDefault="00054BC0" w:rsidP="002651EA">
            <w:pPr>
              <w:rPr>
                <w:b/>
              </w:rPr>
            </w:pPr>
            <w:r w:rsidRPr="009C1E9A">
              <w:rPr>
                <w:b/>
                <w:u w:val="single"/>
              </w:rPr>
              <w:t>ANALYSIS</w:t>
            </w:r>
            <w:r>
              <w:rPr>
                <w:b/>
              </w:rPr>
              <w:t xml:space="preserve"> </w:t>
            </w:r>
          </w:p>
          <w:p w:rsidR="008423E4" w:rsidRDefault="00054BC0" w:rsidP="002651EA"/>
          <w:p w:rsidR="001B68A7" w:rsidRDefault="00054BC0" w:rsidP="002651EA">
            <w:pPr>
              <w:pStyle w:val="Header"/>
              <w:jc w:val="both"/>
            </w:pPr>
            <w:r>
              <w:t xml:space="preserve">S.B. 1552 amends the </w:t>
            </w:r>
            <w:r w:rsidRPr="0018625E">
              <w:t>Health and Safety Code</w:t>
            </w:r>
            <w:r>
              <w:t xml:space="preserve"> to </w:t>
            </w:r>
            <w:r>
              <w:t xml:space="preserve">require the executive </w:t>
            </w:r>
            <w:r w:rsidRPr="002E7103">
              <w:t>commissioner of the Health and Human Services Commission</w:t>
            </w:r>
            <w:r>
              <w:t xml:space="preserve"> (HHSC), in </w:t>
            </w:r>
            <w:r w:rsidRPr="002E7103">
              <w:t>addition to other methods required by law, rule, or policy</w:t>
            </w:r>
            <w:r>
              <w:t>,</w:t>
            </w:r>
            <w:r w:rsidRPr="002E7103">
              <w:t xml:space="preserve"> </w:t>
            </w:r>
            <w:r>
              <w:t xml:space="preserve">in order </w:t>
            </w:r>
            <w:r w:rsidRPr="002E7103">
              <w:t xml:space="preserve">to protect the rights of residents in state supported living centers and the ICF-IID component of the Rio Grande State </w:t>
            </w:r>
            <w:r w:rsidRPr="002E7103">
              <w:t>Center,</w:t>
            </w:r>
            <w:r>
              <w:t xml:space="preserve"> to </w:t>
            </w:r>
            <w:r>
              <w:t>do the following:</w:t>
            </w:r>
          </w:p>
          <w:p w:rsidR="003322C7" w:rsidRDefault="00054BC0" w:rsidP="002651EA">
            <w:pPr>
              <w:pStyle w:val="Header"/>
              <w:numPr>
                <w:ilvl w:val="0"/>
                <w:numId w:val="1"/>
              </w:numPr>
              <w:spacing w:before="120" w:after="120"/>
              <w:jc w:val="both"/>
            </w:pPr>
            <w:r>
              <w:t>develop formal methods to more fully educate executives, administrators, supervisors, and direct care professionals working at centers, residents of centers, guardians of those residents, and other actively involved persons on:</w:t>
            </w:r>
            <w:r>
              <w:t xml:space="preserve"> </w:t>
            </w:r>
          </w:p>
          <w:p w:rsidR="003322C7" w:rsidRDefault="00054BC0" w:rsidP="002651EA">
            <w:pPr>
              <w:pStyle w:val="Header"/>
              <w:numPr>
                <w:ilvl w:val="1"/>
                <w:numId w:val="1"/>
              </w:numPr>
              <w:spacing w:before="120" w:after="120"/>
              <w:jc w:val="both"/>
            </w:pPr>
            <w:r>
              <w:t>the rights of residents</w:t>
            </w:r>
            <w:r>
              <w:t>;</w:t>
            </w:r>
          </w:p>
          <w:p w:rsidR="003322C7" w:rsidRDefault="00054BC0" w:rsidP="002651EA">
            <w:pPr>
              <w:pStyle w:val="Header"/>
              <w:numPr>
                <w:ilvl w:val="1"/>
                <w:numId w:val="1"/>
              </w:numPr>
              <w:spacing w:before="120" w:after="120"/>
              <w:jc w:val="both"/>
            </w:pPr>
            <w:r w:rsidRPr="003322C7">
              <w:t>the health and medical obligations and responsibilities and the legal obligations and responsibilities toward residents of a center's executives, administrators, supervisors, and direct care professionals</w:t>
            </w:r>
            <w:r>
              <w:t>;</w:t>
            </w:r>
          </w:p>
          <w:p w:rsidR="003322C7" w:rsidRDefault="00054BC0" w:rsidP="002651EA">
            <w:pPr>
              <w:pStyle w:val="Header"/>
              <w:numPr>
                <w:ilvl w:val="1"/>
                <w:numId w:val="1"/>
              </w:numPr>
              <w:spacing w:before="120" w:after="120"/>
              <w:jc w:val="both"/>
            </w:pPr>
            <w:r>
              <w:t xml:space="preserve">the types of </w:t>
            </w:r>
            <w:r w:rsidRPr="003322C7">
              <w:t>specific n</w:t>
            </w:r>
            <w:r w:rsidRPr="003322C7">
              <w:t>eeds and complex behavioral challenges of various populations of residents that may require additional support services, attention, and specialized training, including</w:t>
            </w:r>
            <w:r>
              <w:t xml:space="preserve"> certain specified populations;</w:t>
            </w:r>
          </w:p>
          <w:p w:rsidR="003322C7" w:rsidRDefault="00054BC0" w:rsidP="002651EA">
            <w:pPr>
              <w:pStyle w:val="Header"/>
              <w:numPr>
                <w:ilvl w:val="1"/>
                <w:numId w:val="1"/>
              </w:numPr>
              <w:spacing w:before="120" w:after="120"/>
              <w:jc w:val="both"/>
            </w:pPr>
            <w:r>
              <w:t>the circumstances under which a resident's or other perso</w:t>
            </w:r>
            <w:r>
              <w:t>n's rights may or may not be restricted and relat</w:t>
            </w:r>
            <w:r>
              <w:t>ed</w:t>
            </w:r>
            <w:r>
              <w:t xml:space="preserve"> processes and procedures; and</w:t>
            </w:r>
          </w:p>
          <w:p w:rsidR="001B68A7" w:rsidRDefault="00054BC0" w:rsidP="002651EA">
            <w:pPr>
              <w:pStyle w:val="Header"/>
              <w:numPr>
                <w:ilvl w:val="1"/>
                <w:numId w:val="1"/>
              </w:numPr>
              <w:spacing w:before="120" w:after="120"/>
              <w:jc w:val="both"/>
            </w:pPr>
            <w:r>
              <w:t>the manner in which a person may file a complaint;</w:t>
            </w:r>
          </w:p>
          <w:p w:rsidR="001B68A7" w:rsidRDefault="00054BC0" w:rsidP="002651EA">
            <w:pPr>
              <w:pStyle w:val="Header"/>
              <w:numPr>
                <w:ilvl w:val="0"/>
                <w:numId w:val="1"/>
              </w:numPr>
              <w:spacing w:before="120" w:after="120"/>
              <w:jc w:val="both"/>
            </w:pPr>
            <w:r>
              <w:t>specify processes and procedures that center staff must follow</w:t>
            </w:r>
            <w:r>
              <w:t xml:space="preserve">, including completed and documented training related to the </w:t>
            </w:r>
            <w:r>
              <w:t>foregoing topics</w:t>
            </w:r>
            <w:r>
              <w:t>;</w:t>
            </w:r>
            <w:r>
              <w:t xml:space="preserve"> </w:t>
            </w:r>
            <w:r>
              <w:t xml:space="preserve">and </w:t>
            </w:r>
          </w:p>
          <w:p w:rsidR="00CB6707" w:rsidRDefault="00054BC0" w:rsidP="00245AB3">
            <w:pPr>
              <w:pStyle w:val="Header"/>
              <w:numPr>
                <w:ilvl w:val="0"/>
                <w:numId w:val="1"/>
              </w:numPr>
              <w:jc w:val="both"/>
            </w:pPr>
            <w:r>
              <w:t xml:space="preserve">establish formal practices, processes, and policies to implement statewide and local recruitment strategies for hiring direct care professionals to ensure adequate staff coverage and an adequate ratio of direct care professionals to </w:t>
            </w:r>
            <w:r>
              <w:t>residents, residents' protection and safety, and residents' ability to exercise their rights.</w:t>
            </w:r>
          </w:p>
          <w:p w:rsidR="00BC2D89" w:rsidRDefault="00054BC0" w:rsidP="002651EA">
            <w:pPr>
              <w:pStyle w:val="Header"/>
              <w:jc w:val="both"/>
            </w:pPr>
          </w:p>
          <w:p w:rsidR="00CB6707" w:rsidRDefault="00054BC0" w:rsidP="002651EA">
            <w:pPr>
              <w:pStyle w:val="Header"/>
              <w:jc w:val="both"/>
            </w:pPr>
            <w:r>
              <w:t>S.B. 1552 requires each center, not</w:t>
            </w:r>
            <w:r w:rsidRPr="00CB6707">
              <w:t xml:space="preserve"> later than January 1, 2020,</w:t>
            </w:r>
            <w:r>
              <w:t xml:space="preserve"> to </w:t>
            </w:r>
            <w:r w:rsidRPr="00CB6707">
              <w:t>develop and implement additional initial and refresher specialized training for all executives</w:t>
            </w:r>
            <w:r w:rsidRPr="00CB6707">
              <w:t>, administrators, supervisors, and direct care professionals to support populations of residents that may require additional support services, attention, and specialized training</w:t>
            </w:r>
            <w:r>
              <w:t>. The bill requires the executive commissioner by rule</w:t>
            </w:r>
            <w:r>
              <w:t>,</w:t>
            </w:r>
            <w:r>
              <w:t xml:space="preserve"> not </w:t>
            </w:r>
            <w:r w:rsidRPr="00CB6707">
              <w:t>later than January</w:t>
            </w:r>
            <w:r w:rsidRPr="00CB6707">
              <w:t xml:space="preserve"> 1, 2020</w:t>
            </w:r>
            <w:r>
              <w:t xml:space="preserve">, to </w:t>
            </w:r>
            <w:r w:rsidRPr="00CB6707">
              <w:t xml:space="preserve">develop standards for </w:t>
            </w:r>
            <w:r>
              <w:t xml:space="preserve">such </w:t>
            </w:r>
            <w:r w:rsidRPr="00CB6707">
              <w:t>training</w:t>
            </w:r>
            <w:r>
              <w:t xml:space="preserve">, </w:t>
            </w:r>
            <w:r w:rsidRPr="00CB6707">
              <w:t>including the length of the training and the manner in which the training is provided.</w:t>
            </w:r>
            <w:r>
              <w:t xml:space="preserve"> The bill requires the executive commissioner, in developing </w:t>
            </w:r>
            <w:r>
              <w:t xml:space="preserve">the </w:t>
            </w:r>
            <w:r>
              <w:t xml:space="preserve">standards, to </w:t>
            </w:r>
            <w:r w:rsidRPr="00CB6707">
              <w:t>ensure that person</w:t>
            </w:r>
            <w:r>
              <w:noBreakHyphen/>
            </w:r>
            <w:r w:rsidRPr="00CB6707">
              <w:t xml:space="preserve">centered thinking is </w:t>
            </w:r>
            <w:r w:rsidRPr="00CB6707">
              <w:t>used as a foundation for all training, and that all training is competency</w:t>
            </w:r>
            <w:r>
              <w:noBreakHyphen/>
            </w:r>
            <w:r w:rsidRPr="00CB6707">
              <w:t>based, trauma-informed, and, to the extent possible, provided in an interactive manner such as on a one-on-one basis, by a group discussion, or by a demonstration.</w:t>
            </w:r>
            <w:r>
              <w:t xml:space="preserve"> </w:t>
            </w:r>
            <w:r>
              <w:t>The bill requires</w:t>
            </w:r>
            <w:r>
              <w:t xml:space="preserve"> the executive commissioner to ensure that each state supported living center implements the training standards as soon as possible. </w:t>
            </w:r>
            <w:r>
              <w:t xml:space="preserve"> </w:t>
            </w:r>
          </w:p>
          <w:p w:rsidR="008423E4" w:rsidRPr="00835628" w:rsidRDefault="00054BC0" w:rsidP="002651EA">
            <w:pPr>
              <w:rPr>
                <w:b/>
              </w:rPr>
            </w:pPr>
          </w:p>
        </w:tc>
        <w:tc>
          <w:tcPr>
            <w:tcW w:w="1670" w:type="dxa"/>
          </w:tcPr>
          <w:p w:rsidR="008423E4" w:rsidRPr="009C1E9A" w:rsidRDefault="00054BC0" w:rsidP="002651EA"/>
        </w:tc>
      </w:tr>
      <w:tr w:rsidR="00B553A2" w:rsidTr="00270FFD">
        <w:trPr>
          <w:gridAfter w:val="1"/>
          <w:wAfter w:w="1670" w:type="dxa"/>
        </w:trPr>
        <w:tc>
          <w:tcPr>
            <w:tcW w:w="9270" w:type="dxa"/>
          </w:tcPr>
          <w:p w:rsidR="008423E4" w:rsidRPr="00A8133F" w:rsidRDefault="00054BC0" w:rsidP="002651EA">
            <w:pPr>
              <w:rPr>
                <w:b/>
              </w:rPr>
            </w:pPr>
            <w:r w:rsidRPr="009C1E9A">
              <w:rPr>
                <w:b/>
                <w:u w:val="single"/>
              </w:rPr>
              <w:t>EFFECTIVE DATE</w:t>
            </w:r>
            <w:r>
              <w:rPr>
                <w:b/>
              </w:rPr>
              <w:t xml:space="preserve"> </w:t>
            </w:r>
          </w:p>
          <w:p w:rsidR="008423E4" w:rsidRDefault="00054BC0" w:rsidP="002651EA"/>
          <w:p w:rsidR="008423E4" w:rsidRPr="003624F2" w:rsidRDefault="00054BC0" w:rsidP="002651EA">
            <w:pPr>
              <w:pStyle w:val="Header"/>
              <w:tabs>
                <w:tab w:val="clear" w:pos="4320"/>
                <w:tab w:val="clear" w:pos="8640"/>
              </w:tabs>
              <w:jc w:val="both"/>
            </w:pPr>
            <w:r>
              <w:t>On passage, or, if the bill does not receive the necessary vote, September 1, 2019.</w:t>
            </w:r>
          </w:p>
          <w:p w:rsidR="008423E4" w:rsidRPr="00233FDB" w:rsidRDefault="00054BC0" w:rsidP="002651EA">
            <w:pPr>
              <w:rPr>
                <w:b/>
              </w:rPr>
            </w:pPr>
          </w:p>
        </w:tc>
      </w:tr>
    </w:tbl>
    <w:p w:rsidR="004108C3" w:rsidRPr="008423E4" w:rsidRDefault="00054BC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4BC0">
      <w:r>
        <w:separator/>
      </w:r>
    </w:p>
  </w:endnote>
  <w:endnote w:type="continuationSeparator" w:id="0">
    <w:p w:rsidR="00000000" w:rsidRDefault="0005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03" w:rsidRDefault="0005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553A2" w:rsidTr="009C1E9A">
      <w:trPr>
        <w:cantSplit/>
      </w:trPr>
      <w:tc>
        <w:tcPr>
          <w:tcW w:w="0" w:type="pct"/>
        </w:tcPr>
        <w:p w:rsidR="00137D90" w:rsidRDefault="00054BC0" w:rsidP="009C1E9A">
          <w:pPr>
            <w:pStyle w:val="Footer"/>
            <w:tabs>
              <w:tab w:val="clear" w:pos="8640"/>
              <w:tab w:val="right" w:pos="9360"/>
            </w:tabs>
          </w:pPr>
        </w:p>
      </w:tc>
      <w:tc>
        <w:tcPr>
          <w:tcW w:w="2395" w:type="pct"/>
        </w:tcPr>
        <w:p w:rsidR="00137D90" w:rsidRDefault="00054BC0" w:rsidP="009C1E9A">
          <w:pPr>
            <w:pStyle w:val="Footer"/>
            <w:tabs>
              <w:tab w:val="clear" w:pos="8640"/>
              <w:tab w:val="right" w:pos="9360"/>
            </w:tabs>
          </w:pPr>
        </w:p>
        <w:p w:rsidR="001A4310" w:rsidRDefault="00054BC0" w:rsidP="009C1E9A">
          <w:pPr>
            <w:pStyle w:val="Footer"/>
            <w:tabs>
              <w:tab w:val="clear" w:pos="8640"/>
              <w:tab w:val="right" w:pos="9360"/>
            </w:tabs>
          </w:pPr>
        </w:p>
        <w:p w:rsidR="00137D90" w:rsidRDefault="00054BC0" w:rsidP="009C1E9A">
          <w:pPr>
            <w:pStyle w:val="Footer"/>
            <w:tabs>
              <w:tab w:val="clear" w:pos="8640"/>
              <w:tab w:val="right" w:pos="9360"/>
            </w:tabs>
          </w:pPr>
        </w:p>
      </w:tc>
      <w:tc>
        <w:tcPr>
          <w:tcW w:w="2453" w:type="pct"/>
        </w:tcPr>
        <w:p w:rsidR="00137D90" w:rsidRDefault="00054BC0" w:rsidP="009C1E9A">
          <w:pPr>
            <w:pStyle w:val="Footer"/>
            <w:tabs>
              <w:tab w:val="clear" w:pos="8640"/>
              <w:tab w:val="right" w:pos="9360"/>
            </w:tabs>
            <w:jc w:val="right"/>
          </w:pPr>
        </w:p>
      </w:tc>
    </w:tr>
    <w:tr w:rsidR="00B553A2" w:rsidTr="009C1E9A">
      <w:trPr>
        <w:cantSplit/>
      </w:trPr>
      <w:tc>
        <w:tcPr>
          <w:tcW w:w="0" w:type="pct"/>
        </w:tcPr>
        <w:p w:rsidR="00EC379B" w:rsidRDefault="00054BC0" w:rsidP="009C1E9A">
          <w:pPr>
            <w:pStyle w:val="Footer"/>
            <w:tabs>
              <w:tab w:val="clear" w:pos="8640"/>
              <w:tab w:val="right" w:pos="9360"/>
            </w:tabs>
          </w:pPr>
        </w:p>
      </w:tc>
      <w:tc>
        <w:tcPr>
          <w:tcW w:w="2395" w:type="pct"/>
        </w:tcPr>
        <w:p w:rsidR="00EC379B" w:rsidRPr="009C1E9A" w:rsidRDefault="00054BC0" w:rsidP="009C1E9A">
          <w:pPr>
            <w:pStyle w:val="Footer"/>
            <w:tabs>
              <w:tab w:val="clear" w:pos="8640"/>
              <w:tab w:val="right" w:pos="9360"/>
            </w:tabs>
            <w:rPr>
              <w:rFonts w:ascii="Shruti" w:hAnsi="Shruti"/>
              <w:sz w:val="22"/>
            </w:rPr>
          </w:pPr>
          <w:r>
            <w:rPr>
              <w:rFonts w:ascii="Shruti" w:hAnsi="Shruti"/>
              <w:sz w:val="22"/>
            </w:rPr>
            <w:t>86R 34220</w:t>
          </w:r>
        </w:p>
      </w:tc>
      <w:tc>
        <w:tcPr>
          <w:tcW w:w="2453" w:type="pct"/>
        </w:tcPr>
        <w:p w:rsidR="00EC379B" w:rsidRDefault="00054BC0" w:rsidP="009C1E9A">
          <w:pPr>
            <w:pStyle w:val="Footer"/>
            <w:tabs>
              <w:tab w:val="clear" w:pos="8640"/>
              <w:tab w:val="right" w:pos="9360"/>
            </w:tabs>
            <w:jc w:val="right"/>
          </w:pPr>
          <w:r>
            <w:fldChar w:fldCharType="begin"/>
          </w:r>
          <w:r>
            <w:instrText xml:space="preserve"> DOCPROPERTY  OTID  \* MERGEFORMAT </w:instrText>
          </w:r>
          <w:r>
            <w:fldChar w:fldCharType="separate"/>
          </w:r>
          <w:r>
            <w:t>19.135.796</w:t>
          </w:r>
          <w:r>
            <w:fldChar w:fldCharType="end"/>
          </w:r>
        </w:p>
      </w:tc>
    </w:tr>
    <w:tr w:rsidR="00B553A2" w:rsidTr="009C1E9A">
      <w:trPr>
        <w:cantSplit/>
      </w:trPr>
      <w:tc>
        <w:tcPr>
          <w:tcW w:w="0" w:type="pct"/>
        </w:tcPr>
        <w:p w:rsidR="00EC379B" w:rsidRDefault="00054BC0" w:rsidP="009C1E9A">
          <w:pPr>
            <w:pStyle w:val="Footer"/>
            <w:tabs>
              <w:tab w:val="clear" w:pos="4320"/>
              <w:tab w:val="clear" w:pos="8640"/>
              <w:tab w:val="left" w:pos="2865"/>
            </w:tabs>
          </w:pPr>
        </w:p>
      </w:tc>
      <w:tc>
        <w:tcPr>
          <w:tcW w:w="2395" w:type="pct"/>
        </w:tcPr>
        <w:p w:rsidR="00EC379B" w:rsidRPr="009C1E9A" w:rsidRDefault="00054BC0" w:rsidP="009C1E9A">
          <w:pPr>
            <w:pStyle w:val="Footer"/>
            <w:tabs>
              <w:tab w:val="clear" w:pos="4320"/>
              <w:tab w:val="clear" w:pos="8640"/>
              <w:tab w:val="left" w:pos="2865"/>
            </w:tabs>
            <w:rPr>
              <w:rFonts w:ascii="Shruti" w:hAnsi="Shruti"/>
              <w:sz w:val="22"/>
            </w:rPr>
          </w:pPr>
        </w:p>
      </w:tc>
      <w:tc>
        <w:tcPr>
          <w:tcW w:w="2453" w:type="pct"/>
        </w:tcPr>
        <w:p w:rsidR="00EC379B" w:rsidRDefault="00054BC0" w:rsidP="006D504F">
          <w:pPr>
            <w:pStyle w:val="Footer"/>
            <w:rPr>
              <w:rStyle w:val="PageNumber"/>
            </w:rPr>
          </w:pPr>
        </w:p>
        <w:p w:rsidR="00EC379B" w:rsidRDefault="00054BC0" w:rsidP="009C1E9A">
          <w:pPr>
            <w:pStyle w:val="Footer"/>
            <w:tabs>
              <w:tab w:val="clear" w:pos="8640"/>
              <w:tab w:val="right" w:pos="9360"/>
            </w:tabs>
            <w:jc w:val="right"/>
          </w:pPr>
        </w:p>
      </w:tc>
    </w:tr>
    <w:tr w:rsidR="00B553A2" w:rsidTr="009C1E9A">
      <w:trPr>
        <w:cantSplit/>
        <w:trHeight w:val="323"/>
      </w:trPr>
      <w:tc>
        <w:tcPr>
          <w:tcW w:w="0" w:type="pct"/>
          <w:gridSpan w:val="3"/>
        </w:tcPr>
        <w:p w:rsidR="00EC379B" w:rsidRDefault="00054BC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54BC0" w:rsidP="009C1E9A">
          <w:pPr>
            <w:pStyle w:val="Footer"/>
            <w:tabs>
              <w:tab w:val="clear" w:pos="8640"/>
              <w:tab w:val="right" w:pos="9360"/>
            </w:tabs>
            <w:jc w:val="center"/>
          </w:pPr>
        </w:p>
      </w:tc>
    </w:tr>
  </w:tbl>
  <w:p w:rsidR="00EC379B" w:rsidRPr="00FF6F72" w:rsidRDefault="00054BC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03" w:rsidRDefault="0005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4BC0">
      <w:r>
        <w:separator/>
      </w:r>
    </w:p>
  </w:footnote>
  <w:footnote w:type="continuationSeparator" w:id="0">
    <w:p w:rsidR="00000000" w:rsidRDefault="0005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03" w:rsidRDefault="0005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03" w:rsidRDefault="00054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03" w:rsidRDefault="0005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0A8"/>
    <w:multiLevelType w:val="hybridMultilevel"/>
    <w:tmpl w:val="55889962"/>
    <w:lvl w:ilvl="0" w:tplc="323A358E">
      <w:start w:val="1"/>
      <w:numFmt w:val="bullet"/>
      <w:lvlText w:val=""/>
      <w:lvlJc w:val="left"/>
      <w:pPr>
        <w:tabs>
          <w:tab w:val="num" w:pos="720"/>
        </w:tabs>
        <w:ind w:left="720" w:hanging="360"/>
      </w:pPr>
      <w:rPr>
        <w:rFonts w:ascii="Symbol" w:hAnsi="Symbol" w:hint="default"/>
      </w:rPr>
    </w:lvl>
    <w:lvl w:ilvl="1" w:tplc="F90A9186">
      <w:start w:val="1"/>
      <w:numFmt w:val="bullet"/>
      <w:lvlText w:val="o"/>
      <w:lvlJc w:val="left"/>
      <w:pPr>
        <w:ind w:left="1440" w:hanging="360"/>
      </w:pPr>
      <w:rPr>
        <w:rFonts w:ascii="Courier New" w:hAnsi="Courier New" w:cs="Courier New" w:hint="default"/>
      </w:rPr>
    </w:lvl>
    <w:lvl w:ilvl="2" w:tplc="68480E38" w:tentative="1">
      <w:start w:val="1"/>
      <w:numFmt w:val="bullet"/>
      <w:lvlText w:val=""/>
      <w:lvlJc w:val="left"/>
      <w:pPr>
        <w:ind w:left="2160" w:hanging="360"/>
      </w:pPr>
      <w:rPr>
        <w:rFonts w:ascii="Wingdings" w:hAnsi="Wingdings" w:hint="default"/>
      </w:rPr>
    </w:lvl>
    <w:lvl w:ilvl="3" w:tplc="F9D04D84" w:tentative="1">
      <w:start w:val="1"/>
      <w:numFmt w:val="bullet"/>
      <w:lvlText w:val=""/>
      <w:lvlJc w:val="left"/>
      <w:pPr>
        <w:ind w:left="2880" w:hanging="360"/>
      </w:pPr>
      <w:rPr>
        <w:rFonts w:ascii="Symbol" w:hAnsi="Symbol" w:hint="default"/>
      </w:rPr>
    </w:lvl>
    <w:lvl w:ilvl="4" w:tplc="4CC21DA2" w:tentative="1">
      <w:start w:val="1"/>
      <w:numFmt w:val="bullet"/>
      <w:lvlText w:val="o"/>
      <w:lvlJc w:val="left"/>
      <w:pPr>
        <w:ind w:left="3600" w:hanging="360"/>
      </w:pPr>
      <w:rPr>
        <w:rFonts w:ascii="Courier New" w:hAnsi="Courier New" w:cs="Courier New" w:hint="default"/>
      </w:rPr>
    </w:lvl>
    <w:lvl w:ilvl="5" w:tplc="38A453D6" w:tentative="1">
      <w:start w:val="1"/>
      <w:numFmt w:val="bullet"/>
      <w:lvlText w:val=""/>
      <w:lvlJc w:val="left"/>
      <w:pPr>
        <w:ind w:left="4320" w:hanging="360"/>
      </w:pPr>
      <w:rPr>
        <w:rFonts w:ascii="Wingdings" w:hAnsi="Wingdings" w:hint="default"/>
      </w:rPr>
    </w:lvl>
    <w:lvl w:ilvl="6" w:tplc="936E5482" w:tentative="1">
      <w:start w:val="1"/>
      <w:numFmt w:val="bullet"/>
      <w:lvlText w:val=""/>
      <w:lvlJc w:val="left"/>
      <w:pPr>
        <w:ind w:left="5040" w:hanging="360"/>
      </w:pPr>
      <w:rPr>
        <w:rFonts w:ascii="Symbol" w:hAnsi="Symbol" w:hint="default"/>
      </w:rPr>
    </w:lvl>
    <w:lvl w:ilvl="7" w:tplc="570CBAAE" w:tentative="1">
      <w:start w:val="1"/>
      <w:numFmt w:val="bullet"/>
      <w:lvlText w:val="o"/>
      <w:lvlJc w:val="left"/>
      <w:pPr>
        <w:ind w:left="5760" w:hanging="360"/>
      </w:pPr>
      <w:rPr>
        <w:rFonts w:ascii="Courier New" w:hAnsi="Courier New" w:cs="Courier New" w:hint="default"/>
      </w:rPr>
    </w:lvl>
    <w:lvl w:ilvl="8" w:tplc="3FCA853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A2"/>
    <w:rsid w:val="00054BC0"/>
    <w:rsid w:val="00B5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4EB20-CDC2-41D8-86FE-C75384A1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6707"/>
    <w:rPr>
      <w:sz w:val="16"/>
      <w:szCs w:val="16"/>
    </w:rPr>
  </w:style>
  <w:style w:type="paragraph" w:styleId="CommentText">
    <w:name w:val="annotation text"/>
    <w:basedOn w:val="Normal"/>
    <w:link w:val="CommentTextChar"/>
    <w:semiHidden/>
    <w:unhideWhenUsed/>
    <w:rsid w:val="00CB6707"/>
    <w:rPr>
      <w:sz w:val="20"/>
      <w:szCs w:val="20"/>
    </w:rPr>
  </w:style>
  <w:style w:type="character" w:customStyle="1" w:styleId="CommentTextChar">
    <w:name w:val="Comment Text Char"/>
    <w:basedOn w:val="DefaultParagraphFont"/>
    <w:link w:val="CommentText"/>
    <w:semiHidden/>
    <w:rsid w:val="00CB6707"/>
  </w:style>
  <w:style w:type="paragraph" w:styleId="CommentSubject">
    <w:name w:val="annotation subject"/>
    <w:basedOn w:val="CommentText"/>
    <w:next w:val="CommentText"/>
    <w:link w:val="CommentSubjectChar"/>
    <w:semiHidden/>
    <w:unhideWhenUsed/>
    <w:rsid w:val="00CB6707"/>
    <w:rPr>
      <w:b/>
      <w:bCs/>
    </w:rPr>
  </w:style>
  <w:style w:type="character" w:customStyle="1" w:styleId="CommentSubjectChar">
    <w:name w:val="Comment Subject Char"/>
    <w:basedOn w:val="CommentTextChar"/>
    <w:link w:val="CommentSubject"/>
    <w:semiHidden/>
    <w:rsid w:val="00CB6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3636</Characters>
  <Application>Microsoft Office Word</Application>
  <DocSecurity>4</DocSecurity>
  <Lines>78</Lines>
  <Paragraphs>24</Paragraphs>
  <ScaleCrop>false</ScaleCrop>
  <HeadingPairs>
    <vt:vector size="2" baseType="variant">
      <vt:variant>
        <vt:lpstr>Title</vt:lpstr>
      </vt:variant>
      <vt:variant>
        <vt:i4>1</vt:i4>
      </vt:variant>
    </vt:vector>
  </HeadingPairs>
  <TitlesOfParts>
    <vt:vector size="1" baseType="lpstr">
      <vt:lpstr>BA - SB01552 (Committee Report (Unamended))</vt:lpstr>
    </vt:vector>
  </TitlesOfParts>
  <Company>State of Texas</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34220</dc:subject>
  <dc:creator>State of Texas</dc:creator>
  <dc:description>SB 1552 by Lucio-(H)Human Services</dc:description>
  <cp:lastModifiedBy>Laura Ramsay</cp:lastModifiedBy>
  <cp:revision>2</cp:revision>
  <cp:lastPrinted>2003-11-26T17:21:00Z</cp:lastPrinted>
  <dcterms:created xsi:type="dcterms:W3CDTF">2019-05-16T22:49:00Z</dcterms:created>
  <dcterms:modified xsi:type="dcterms:W3CDTF">2019-05-16T22:49:00Z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19.135.796</vt:lpwstr>
  </property>
</Properties>
</file>