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C1583" w:rsidTr="00345119">
        <w:tc>
          <w:tcPr>
            <w:tcW w:w="9576" w:type="dxa"/>
            <w:noWrap/>
          </w:tcPr>
          <w:p w:rsidR="008423E4" w:rsidRPr="0022177D" w:rsidRDefault="00AD3A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3AED" w:rsidP="008423E4">
      <w:pPr>
        <w:jc w:val="center"/>
      </w:pPr>
    </w:p>
    <w:p w:rsidR="008423E4" w:rsidRPr="00B31F0E" w:rsidRDefault="00AD3AED" w:rsidP="008423E4"/>
    <w:p w:rsidR="008423E4" w:rsidRPr="00742794" w:rsidRDefault="00AD3A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1583" w:rsidTr="00345119">
        <w:tc>
          <w:tcPr>
            <w:tcW w:w="9576" w:type="dxa"/>
          </w:tcPr>
          <w:p w:rsidR="008423E4" w:rsidRPr="00861995" w:rsidRDefault="00AD3AED" w:rsidP="00345119">
            <w:pPr>
              <w:jc w:val="right"/>
            </w:pPr>
            <w:r>
              <w:t>S.B. 1557</w:t>
            </w:r>
          </w:p>
        </w:tc>
      </w:tr>
      <w:tr w:rsidR="005C1583" w:rsidTr="00345119">
        <w:tc>
          <w:tcPr>
            <w:tcW w:w="9576" w:type="dxa"/>
          </w:tcPr>
          <w:p w:rsidR="008423E4" w:rsidRPr="00861995" w:rsidRDefault="00AD3AED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5C1583" w:rsidTr="00345119">
        <w:tc>
          <w:tcPr>
            <w:tcW w:w="9576" w:type="dxa"/>
          </w:tcPr>
          <w:p w:rsidR="008423E4" w:rsidRPr="00861995" w:rsidRDefault="00AD3AED" w:rsidP="00345119">
            <w:pPr>
              <w:jc w:val="right"/>
            </w:pPr>
            <w:r>
              <w:t>Public Education</w:t>
            </w:r>
          </w:p>
        </w:tc>
      </w:tr>
      <w:tr w:rsidR="005C1583" w:rsidTr="00345119">
        <w:tc>
          <w:tcPr>
            <w:tcW w:w="9576" w:type="dxa"/>
          </w:tcPr>
          <w:p w:rsidR="008423E4" w:rsidRDefault="00AD3A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3AED" w:rsidP="008423E4">
      <w:pPr>
        <w:tabs>
          <w:tab w:val="right" w:pos="9360"/>
        </w:tabs>
      </w:pPr>
    </w:p>
    <w:p w:rsidR="008423E4" w:rsidRDefault="00AD3AED" w:rsidP="008423E4"/>
    <w:p w:rsidR="008423E4" w:rsidRDefault="00AD3A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C1583" w:rsidTr="00345119">
        <w:tc>
          <w:tcPr>
            <w:tcW w:w="9576" w:type="dxa"/>
          </w:tcPr>
          <w:p w:rsidR="008423E4" w:rsidRPr="00A8133F" w:rsidRDefault="00AD3AED" w:rsidP="0085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3AED" w:rsidP="00852A42"/>
          <w:p w:rsidR="008423E4" w:rsidRDefault="00AD3AED" w:rsidP="00852A42">
            <w:pPr>
              <w:pStyle w:val="Header"/>
              <w:jc w:val="both"/>
            </w:pPr>
            <w:r>
              <w:t xml:space="preserve">It has been reported that </w:t>
            </w:r>
            <w:r>
              <w:t>military</w:t>
            </w:r>
            <w:r>
              <w:noBreakHyphen/>
              <w:t>connected students</w:t>
            </w:r>
            <w:r>
              <w:t xml:space="preserve"> </w:t>
            </w:r>
            <w:r>
              <w:t xml:space="preserve">may </w:t>
            </w:r>
            <w:r>
              <w:t xml:space="preserve">require </w:t>
            </w:r>
            <w:r>
              <w:t xml:space="preserve">certain </w:t>
            </w:r>
            <w:r>
              <w:t>services due to being highly mobile and often having emotional or</w:t>
            </w:r>
            <w:r>
              <w:t xml:space="preserve"> behavioral needs related to the deployment of a parent.</w:t>
            </w:r>
            <w:r>
              <w:t xml:space="preserve"> As such,</w:t>
            </w:r>
            <w:r>
              <w:t xml:space="preserve"> when military families come to Texas, they look for schools that can </w:t>
            </w:r>
            <w:r>
              <w:t xml:space="preserve">accommodate </w:t>
            </w:r>
            <w:r>
              <w:t xml:space="preserve">these needs and provide relevant programming to address them. </w:t>
            </w:r>
            <w:r>
              <w:t>It has been noted that</w:t>
            </w:r>
            <w:r>
              <w:t>,</w:t>
            </w:r>
            <w:r>
              <w:t xml:space="preserve"> w</w:t>
            </w:r>
            <w:r>
              <w:t>hile many schools offe</w:t>
            </w:r>
            <w:r>
              <w:t xml:space="preserve">r programs </w:t>
            </w:r>
            <w:r>
              <w:t xml:space="preserve">for </w:t>
            </w:r>
            <w:r>
              <w:t xml:space="preserve">military family assistance, there is no easy way for these families or other military personnel to identify schools engaged in best practices </w:t>
            </w:r>
            <w:r>
              <w:t xml:space="preserve">with regard to </w:t>
            </w:r>
            <w:r>
              <w:t xml:space="preserve">this student population. S.B. 1557 </w:t>
            </w:r>
            <w:r>
              <w:t xml:space="preserve">seeks to </w:t>
            </w:r>
            <w:r>
              <w:t xml:space="preserve">address this issue </w:t>
            </w:r>
            <w:r>
              <w:t>by establishing the P</w:t>
            </w:r>
            <w:r>
              <w:t xml:space="preserve">urple Star Campus program, which recognizes campuses that develop practices and programs </w:t>
            </w:r>
            <w:r>
              <w:t>to assist military</w:t>
            </w:r>
            <w:r>
              <w:noBreakHyphen/>
              <w:t>connected students</w:t>
            </w:r>
            <w:r>
              <w:t>.</w:t>
            </w:r>
          </w:p>
          <w:p w:rsidR="008423E4" w:rsidRPr="00E26B13" w:rsidRDefault="00AD3AED" w:rsidP="00852A42">
            <w:pPr>
              <w:rPr>
                <w:b/>
              </w:rPr>
            </w:pPr>
          </w:p>
        </w:tc>
      </w:tr>
      <w:tr w:rsidR="005C1583" w:rsidTr="00345119">
        <w:tc>
          <w:tcPr>
            <w:tcW w:w="9576" w:type="dxa"/>
          </w:tcPr>
          <w:p w:rsidR="0017725B" w:rsidRDefault="00AD3AED" w:rsidP="00852A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3AED" w:rsidP="00852A42">
            <w:pPr>
              <w:rPr>
                <w:b/>
                <w:u w:val="single"/>
              </w:rPr>
            </w:pPr>
          </w:p>
          <w:p w:rsidR="00176A65" w:rsidRPr="00176A65" w:rsidRDefault="00AD3AED" w:rsidP="00852A42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D3AED" w:rsidP="00852A42">
            <w:pPr>
              <w:rPr>
                <w:b/>
                <w:u w:val="single"/>
              </w:rPr>
            </w:pPr>
          </w:p>
        </w:tc>
      </w:tr>
      <w:tr w:rsidR="005C1583" w:rsidTr="00345119">
        <w:tc>
          <w:tcPr>
            <w:tcW w:w="9576" w:type="dxa"/>
          </w:tcPr>
          <w:p w:rsidR="008423E4" w:rsidRPr="00A8133F" w:rsidRDefault="00AD3AED" w:rsidP="0085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3AED" w:rsidP="00852A42"/>
          <w:p w:rsidR="00176A65" w:rsidRDefault="00AD3AED" w:rsidP="0085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</w:t>
            </w:r>
            <w:r>
              <w:t>expressly granted to the Texas Education Agency in SECTION 2 of this bill.</w:t>
            </w:r>
          </w:p>
          <w:p w:rsidR="008423E4" w:rsidRPr="00E21FDC" w:rsidRDefault="00AD3AED" w:rsidP="00852A42">
            <w:pPr>
              <w:rPr>
                <w:b/>
              </w:rPr>
            </w:pPr>
          </w:p>
        </w:tc>
      </w:tr>
      <w:tr w:rsidR="005C1583" w:rsidTr="00345119">
        <w:tc>
          <w:tcPr>
            <w:tcW w:w="9576" w:type="dxa"/>
          </w:tcPr>
          <w:p w:rsidR="008423E4" w:rsidRPr="00A8133F" w:rsidRDefault="00AD3AED" w:rsidP="0085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3AED" w:rsidP="00852A42"/>
          <w:p w:rsidR="0056085C" w:rsidRDefault="00AD3AED" w:rsidP="00852A42">
            <w:pPr>
              <w:pStyle w:val="Header"/>
              <w:jc w:val="both"/>
            </w:pPr>
            <w:r>
              <w:t>S.B. 1557</w:t>
            </w:r>
            <w:r>
              <w:t xml:space="preserve"> amends the Education Code to</w:t>
            </w:r>
            <w:r>
              <w:t xml:space="preserve"> </w:t>
            </w:r>
            <w:r>
              <w:t xml:space="preserve">redefine the term </w:t>
            </w:r>
            <w:r>
              <w:t>"</w:t>
            </w:r>
            <w:r>
              <w:t>military</w:t>
            </w:r>
            <w:r>
              <w:noBreakHyphen/>
            </w:r>
            <w:r>
              <w:t>connected student</w:t>
            </w:r>
            <w:r>
              <w:t>"</w:t>
            </w:r>
            <w:r>
              <w:t xml:space="preserve"> for purposes of transition assistance for military dependents</w:t>
            </w:r>
            <w:r>
              <w:t xml:space="preserve"> to mean a student enrolled in a school district or open-enrollment charter school who:</w:t>
            </w:r>
          </w:p>
          <w:p w:rsidR="0056085C" w:rsidRDefault="00AD3AED" w:rsidP="00852A4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is a dependent of a current or former member of:</w:t>
            </w:r>
          </w:p>
          <w:p w:rsidR="0056085C" w:rsidRDefault="00AD3AED" w:rsidP="00852A42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the United States military;</w:t>
            </w:r>
          </w:p>
          <w:p w:rsidR="0056085C" w:rsidRDefault="00AD3AED" w:rsidP="00852A42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the Texas National Guard; or</w:t>
            </w:r>
          </w:p>
          <w:p w:rsidR="0056085C" w:rsidRDefault="00AD3AED" w:rsidP="00852A42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a reserve force of the United States military; or</w:t>
            </w:r>
          </w:p>
          <w:p w:rsidR="0056085C" w:rsidRDefault="00AD3AED" w:rsidP="00852A4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was a depend</w:t>
            </w:r>
            <w:r>
              <w:t>ent of a member of such a military or reserve force who was killed in the line of duty</w:t>
            </w:r>
            <w:r>
              <w:t>.</w:t>
            </w:r>
            <w:r>
              <w:t xml:space="preserve"> </w:t>
            </w:r>
          </w:p>
          <w:p w:rsidR="008423E4" w:rsidRDefault="00AD3AED" w:rsidP="0085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>
              <w:t>he bill r</w:t>
            </w:r>
            <w:r>
              <w:t>equire</w:t>
            </w:r>
            <w:r>
              <w:t>s</w:t>
            </w:r>
            <w:r>
              <w:t xml:space="preserve"> the Texas Education Agency (TEA) to designate a district campus as a Purple Star Campus if the campus applies and qualifies for the designation. </w:t>
            </w:r>
            <w:r>
              <w:t xml:space="preserve">For </w:t>
            </w:r>
            <w:r>
              <w:t xml:space="preserve">purposes of </w:t>
            </w:r>
            <w:r>
              <w:t>qualif</w:t>
            </w:r>
            <w:r>
              <w:t>i</w:t>
            </w:r>
            <w:r>
              <w:t>cation</w:t>
            </w:r>
            <w:r>
              <w:t xml:space="preserve"> as a Purple Star Campus,</w:t>
            </w:r>
            <w:r>
              <w:t xml:space="preserve"> a campus must</w:t>
            </w:r>
            <w:r>
              <w:t>:</w:t>
            </w:r>
          </w:p>
          <w:p w:rsidR="00103845" w:rsidRDefault="00AD3AED" w:rsidP="00852A4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936CBA">
              <w:t>designate a staff member as a military liaison</w:t>
            </w:r>
            <w:r>
              <w:t xml:space="preserve"> with duties specified by the bill</w:t>
            </w:r>
            <w:r>
              <w:t>;</w:t>
            </w:r>
          </w:p>
          <w:p w:rsidR="00E6026B" w:rsidRDefault="00AD3AED" w:rsidP="00852A4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936CBA">
              <w:t xml:space="preserve">maintain </w:t>
            </w:r>
            <w:r w:rsidRPr="00936CBA">
              <w:t xml:space="preserve">an easily accessible web page </w:t>
            </w:r>
            <w:r w:rsidRPr="00936CBA">
              <w:t xml:space="preserve">on the campus website that includes </w:t>
            </w:r>
            <w:r>
              <w:t xml:space="preserve">certain </w:t>
            </w:r>
            <w:r w:rsidRPr="00936CBA">
              <w:t>resources for military-co</w:t>
            </w:r>
            <w:r w:rsidRPr="00936CBA">
              <w:t>nnected students and their families</w:t>
            </w:r>
            <w:r>
              <w:t>;</w:t>
            </w:r>
          </w:p>
          <w:p w:rsidR="00E6026B" w:rsidRDefault="00AD3AED" w:rsidP="00852A4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E6026B">
              <w:t>maintain a transition program led by students, where appropriate, that assists military</w:t>
            </w:r>
            <w:r>
              <w:noBreakHyphen/>
            </w:r>
            <w:r w:rsidRPr="00E6026B">
              <w:t>connected students in transitioning into the campus;</w:t>
            </w:r>
          </w:p>
          <w:p w:rsidR="00E6026B" w:rsidRDefault="00AD3AED" w:rsidP="00852A4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E6026B">
              <w:t xml:space="preserve">offer professional development for staff members on issues related to </w:t>
            </w:r>
            <w:r w:rsidRPr="00E6026B">
              <w:t>military-connected students; and</w:t>
            </w:r>
          </w:p>
          <w:p w:rsidR="009031A8" w:rsidRDefault="00AD3AED" w:rsidP="00852A4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offer at least one initiative</w:t>
            </w:r>
            <w:r>
              <w:t xml:space="preserve"> specified by the bill</w:t>
            </w:r>
            <w:r>
              <w:t>.</w:t>
            </w:r>
          </w:p>
          <w:p w:rsidR="00EA7C46" w:rsidRDefault="00AD3AED" w:rsidP="00852A42">
            <w:pPr>
              <w:pStyle w:val="Header"/>
              <w:spacing w:before="120" w:after="120"/>
              <w:contextualSpacing/>
              <w:jc w:val="both"/>
            </w:pPr>
          </w:p>
          <w:p w:rsidR="009031A8" w:rsidRDefault="00AD3AED" w:rsidP="00852A42">
            <w:pPr>
              <w:pStyle w:val="Header"/>
              <w:spacing w:before="120" w:after="120"/>
              <w:jc w:val="both"/>
            </w:pPr>
            <w:r>
              <w:t xml:space="preserve">S.B. 1557 </w:t>
            </w:r>
            <w:r>
              <w:t>authorizes a campus to partner with the district to provide the required website, professional development, and initiative</w:t>
            </w:r>
            <w:r>
              <w:t xml:space="preserve"> for purposes of complying those requirements</w:t>
            </w:r>
            <w:r>
              <w:t xml:space="preserve">. The bill requires TEA to adopt rules as necessary to administer the bill's provisions. </w:t>
            </w:r>
            <w:r>
              <w:t xml:space="preserve">The bill </w:t>
            </w:r>
            <w:r w:rsidRPr="00176A65">
              <w:t>applies beginning with the 2019-2020 school year.</w:t>
            </w:r>
          </w:p>
          <w:p w:rsidR="008423E4" w:rsidRPr="00835628" w:rsidRDefault="00AD3AED" w:rsidP="00852A42">
            <w:pPr>
              <w:rPr>
                <w:b/>
              </w:rPr>
            </w:pPr>
          </w:p>
        </w:tc>
      </w:tr>
      <w:tr w:rsidR="005C1583" w:rsidTr="00345119">
        <w:tc>
          <w:tcPr>
            <w:tcW w:w="9576" w:type="dxa"/>
          </w:tcPr>
          <w:p w:rsidR="008423E4" w:rsidRPr="00A8133F" w:rsidRDefault="00AD3AED" w:rsidP="0085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3AED" w:rsidP="00852A42"/>
          <w:p w:rsidR="008423E4" w:rsidRPr="003624F2" w:rsidRDefault="00AD3AED" w:rsidP="0085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</w:t>
            </w:r>
            <w:r>
              <w:t xml:space="preserve"> the necessary vote, September 1, 2019.</w:t>
            </w:r>
          </w:p>
          <w:p w:rsidR="008423E4" w:rsidRPr="00233FDB" w:rsidRDefault="00AD3AED" w:rsidP="00852A42">
            <w:pPr>
              <w:rPr>
                <w:b/>
              </w:rPr>
            </w:pPr>
          </w:p>
        </w:tc>
      </w:tr>
    </w:tbl>
    <w:p w:rsidR="008423E4" w:rsidRPr="00BE0E75" w:rsidRDefault="00AD3A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3AE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3AED">
      <w:r>
        <w:separator/>
      </w:r>
    </w:p>
  </w:endnote>
  <w:endnote w:type="continuationSeparator" w:id="0">
    <w:p w:rsidR="00000000" w:rsidRDefault="00AD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4F" w:rsidRDefault="00AD3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1583" w:rsidTr="009C1E9A">
      <w:trPr>
        <w:cantSplit/>
      </w:trPr>
      <w:tc>
        <w:tcPr>
          <w:tcW w:w="0" w:type="pct"/>
        </w:tcPr>
        <w:p w:rsidR="00137D90" w:rsidRDefault="00AD3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3A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3A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3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3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1583" w:rsidTr="009C1E9A">
      <w:trPr>
        <w:cantSplit/>
      </w:trPr>
      <w:tc>
        <w:tcPr>
          <w:tcW w:w="0" w:type="pct"/>
        </w:tcPr>
        <w:p w:rsidR="00EC379B" w:rsidRDefault="00AD3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3A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30255</w:t>
          </w:r>
        </w:p>
      </w:tc>
      <w:tc>
        <w:tcPr>
          <w:tcW w:w="2453" w:type="pct"/>
        </w:tcPr>
        <w:p w:rsidR="00EC379B" w:rsidRDefault="00AD3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19.118.62</w:t>
          </w:r>
          <w:r>
            <w:fldChar w:fldCharType="end"/>
          </w:r>
        </w:p>
      </w:tc>
    </w:tr>
    <w:tr w:rsidR="005C1583" w:rsidTr="009C1E9A">
      <w:trPr>
        <w:cantSplit/>
      </w:trPr>
      <w:tc>
        <w:tcPr>
          <w:tcW w:w="0" w:type="pct"/>
        </w:tcPr>
        <w:p w:rsidR="00EC379B" w:rsidRDefault="00AD3A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3A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3AED" w:rsidP="006D504F">
          <w:pPr>
            <w:pStyle w:val="Footer"/>
            <w:rPr>
              <w:rStyle w:val="PageNumber"/>
            </w:rPr>
          </w:pPr>
        </w:p>
        <w:p w:rsidR="00EC379B" w:rsidRDefault="00AD3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15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3A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D3A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3A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4F" w:rsidRDefault="00AD3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3AED">
      <w:r>
        <w:separator/>
      </w:r>
    </w:p>
  </w:footnote>
  <w:footnote w:type="continuationSeparator" w:id="0">
    <w:p w:rsidR="00000000" w:rsidRDefault="00AD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4F" w:rsidRDefault="00AD3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4F" w:rsidRDefault="00AD3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4F" w:rsidRDefault="00AD3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19"/>
    <w:multiLevelType w:val="hybridMultilevel"/>
    <w:tmpl w:val="62B4FDB4"/>
    <w:lvl w:ilvl="0" w:tplc="5B180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8B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A8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08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62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41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4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9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C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3AAE"/>
    <w:multiLevelType w:val="hybridMultilevel"/>
    <w:tmpl w:val="EDCC4D3A"/>
    <w:lvl w:ilvl="0" w:tplc="33D24FD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FE024922">
      <w:start w:val="1"/>
      <w:numFmt w:val="upperLetter"/>
      <w:lvlText w:val="(%2)"/>
      <w:lvlJc w:val="left"/>
      <w:pPr>
        <w:ind w:left="1560" w:hanging="480"/>
      </w:pPr>
      <w:rPr>
        <w:rFonts w:hint="default"/>
      </w:rPr>
    </w:lvl>
    <w:lvl w:ilvl="2" w:tplc="F5DA3DD0" w:tentative="1">
      <w:start w:val="1"/>
      <w:numFmt w:val="lowerRoman"/>
      <w:lvlText w:val="%3."/>
      <w:lvlJc w:val="right"/>
      <w:pPr>
        <w:ind w:left="2160" w:hanging="180"/>
      </w:pPr>
    </w:lvl>
    <w:lvl w:ilvl="3" w:tplc="B0C4FDE8" w:tentative="1">
      <w:start w:val="1"/>
      <w:numFmt w:val="decimal"/>
      <w:lvlText w:val="%4."/>
      <w:lvlJc w:val="left"/>
      <w:pPr>
        <w:ind w:left="2880" w:hanging="360"/>
      </w:pPr>
    </w:lvl>
    <w:lvl w:ilvl="4" w:tplc="41060184" w:tentative="1">
      <w:start w:val="1"/>
      <w:numFmt w:val="lowerLetter"/>
      <w:lvlText w:val="%5."/>
      <w:lvlJc w:val="left"/>
      <w:pPr>
        <w:ind w:left="3600" w:hanging="360"/>
      </w:pPr>
    </w:lvl>
    <w:lvl w:ilvl="5" w:tplc="A492DD7C" w:tentative="1">
      <w:start w:val="1"/>
      <w:numFmt w:val="lowerRoman"/>
      <w:lvlText w:val="%6."/>
      <w:lvlJc w:val="right"/>
      <w:pPr>
        <w:ind w:left="4320" w:hanging="180"/>
      </w:pPr>
    </w:lvl>
    <w:lvl w:ilvl="6" w:tplc="99945FD6" w:tentative="1">
      <w:start w:val="1"/>
      <w:numFmt w:val="decimal"/>
      <w:lvlText w:val="%7."/>
      <w:lvlJc w:val="left"/>
      <w:pPr>
        <w:ind w:left="5040" w:hanging="360"/>
      </w:pPr>
    </w:lvl>
    <w:lvl w:ilvl="7" w:tplc="F2F2B7D2" w:tentative="1">
      <w:start w:val="1"/>
      <w:numFmt w:val="lowerLetter"/>
      <w:lvlText w:val="%8."/>
      <w:lvlJc w:val="left"/>
      <w:pPr>
        <w:ind w:left="5760" w:hanging="360"/>
      </w:pPr>
    </w:lvl>
    <w:lvl w:ilvl="8" w:tplc="68308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6687"/>
    <w:multiLevelType w:val="hybridMultilevel"/>
    <w:tmpl w:val="36581686"/>
    <w:lvl w:ilvl="0" w:tplc="1E1ED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E1A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A8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6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F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4A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A7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64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8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83"/>
    <w:rsid w:val="005C1583"/>
    <w:rsid w:val="00A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FF7326-78F1-4675-B9F9-25E305F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77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7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2561</Characters>
  <Application>Microsoft Office Word</Application>
  <DocSecurity>4</DocSecurity>
  <Lines>67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SB01557 (Committee Report (Unamended))</vt:lpstr>
    </vt:vector>
  </TitlesOfParts>
  <Company>State of Texas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30255</dc:subject>
  <dc:creator>State of Texas</dc:creator>
  <dc:description>SB 1557 by Lucio-(H)Public Education</dc:description>
  <cp:lastModifiedBy>Erin Conway</cp:lastModifiedBy>
  <cp:revision>2</cp:revision>
  <cp:lastPrinted>2003-11-26T17:21:00Z</cp:lastPrinted>
  <dcterms:created xsi:type="dcterms:W3CDTF">2019-05-08T16:46:00Z</dcterms:created>
  <dcterms:modified xsi:type="dcterms:W3CDTF">2019-05-08T16:46:00Z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19.118.62</vt:lpwstr>
  </property>
</Properties>
</file>