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301C" w:rsidTr="00345119">
        <w:tc>
          <w:tcPr>
            <w:tcW w:w="9576" w:type="dxa"/>
            <w:noWrap/>
          </w:tcPr>
          <w:p w:rsidR="008423E4" w:rsidRPr="0022177D" w:rsidRDefault="00A44F1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44F15" w:rsidP="008423E4">
      <w:pPr>
        <w:jc w:val="center"/>
      </w:pPr>
    </w:p>
    <w:p w:rsidR="008423E4" w:rsidRPr="00B31F0E" w:rsidRDefault="00A44F15" w:rsidP="008423E4"/>
    <w:p w:rsidR="008423E4" w:rsidRPr="00742794" w:rsidRDefault="00A44F1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301C" w:rsidTr="00345119">
        <w:tc>
          <w:tcPr>
            <w:tcW w:w="9576" w:type="dxa"/>
          </w:tcPr>
          <w:p w:rsidR="008423E4" w:rsidRPr="00861995" w:rsidRDefault="00A44F15" w:rsidP="00345119">
            <w:pPr>
              <w:jc w:val="right"/>
            </w:pPr>
            <w:r>
              <w:t>C.S.S.B.</w:t>
            </w:r>
            <w:r>
              <w:t xml:space="preserve"> 1570</w:t>
            </w:r>
          </w:p>
        </w:tc>
      </w:tr>
      <w:tr w:rsidR="000B301C" w:rsidTr="00345119">
        <w:tc>
          <w:tcPr>
            <w:tcW w:w="9576" w:type="dxa"/>
          </w:tcPr>
          <w:p w:rsidR="008423E4" w:rsidRPr="00861995" w:rsidRDefault="00A44F15" w:rsidP="003A7356">
            <w:pPr>
              <w:jc w:val="right"/>
            </w:pPr>
            <w:r>
              <w:t xml:space="preserve">By: </w:t>
            </w:r>
            <w:r>
              <w:t>Flores</w:t>
            </w:r>
          </w:p>
        </w:tc>
      </w:tr>
      <w:tr w:rsidR="000B301C" w:rsidTr="00345119">
        <w:tc>
          <w:tcPr>
            <w:tcW w:w="9576" w:type="dxa"/>
          </w:tcPr>
          <w:p w:rsidR="008423E4" w:rsidRPr="00861995" w:rsidRDefault="00A44F15" w:rsidP="00345119">
            <w:pPr>
              <w:jc w:val="right"/>
            </w:pPr>
            <w:r>
              <w:t>Pensions, Investments &amp; Financial Services</w:t>
            </w:r>
          </w:p>
        </w:tc>
      </w:tr>
      <w:tr w:rsidR="000B301C" w:rsidTr="00345119">
        <w:tc>
          <w:tcPr>
            <w:tcW w:w="9576" w:type="dxa"/>
          </w:tcPr>
          <w:p w:rsidR="008423E4" w:rsidRDefault="00A44F1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44F15" w:rsidP="008423E4">
      <w:pPr>
        <w:tabs>
          <w:tab w:val="right" w:pos="9360"/>
        </w:tabs>
      </w:pPr>
    </w:p>
    <w:p w:rsidR="008423E4" w:rsidRDefault="00A44F15" w:rsidP="008423E4"/>
    <w:p w:rsidR="008423E4" w:rsidRDefault="00A44F1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B301C" w:rsidTr="00345119">
        <w:tc>
          <w:tcPr>
            <w:tcW w:w="9576" w:type="dxa"/>
          </w:tcPr>
          <w:p w:rsidR="008423E4" w:rsidRPr="00A8133F" w:rsidRDefault="00A44F15" w:rsidP="00AD793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44F15" w:rsidP="00AD7939"/>
          <w:p w:rsidR="008423E4" w:rsidRDefault="00A44F15" w:rsidP="00AD7939">
            <w:pPr>
              <w:pStyle w:val="Header"/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</w:t>
            </w:r>
            <w:r>
              <w:t xml:space="preserve"> </w:t>
            </w:r>
            <w:r>
              <w:t xml:space="preserve">the ability of certain </w:t>
            </w:r>
            <w:r>
              <w:t xml:space="preserve">corrections employees who commit certain felonies </w:t>
            </w:r>
            <w:r>
              <w:t xml:space="preserve">to </w:t>
            </w:r>
            <w:r>
              <w:t>continue to</w:t>
            </w:r>
            <w:r>
              <w:t xml:space="preserve"> collect their retirement annuity</w:t>
            </w:r>
            <w:r>
              <w:t xml:space="preserve"> is problematic</w:t>
            </w:r>
            <w:r>
              <w:t xml:space="preserve">. </w:t>
            </w:r>
            <w:r>
              <w:t>C.S.S.B.</w:t>
            </w:r>
            <w:r>
              <w:t xml:space="preserve"> 1570 seeks to prevent corrections officers who participate in criminal activities involving prison gangs from continuing to profit from their employment after </w:t>
            </w:r>
            <w:r>
              <w:t>conviction of a</w:t>
            </w:r>
            <w:r>
              <w:t xml:space="preserve"> qualifying </w:t>
            </w:r>
            <w:r>
              <w:t xml:space="preserve">felony </w:t>
            </w:r>
            <w:r>
              <w:t xml:space="preserve">by making such </w:t>
            </w:r>
            <w:r>
              <w:t>corrections officers ineligible to collect their service retirement annuity</w:t>
            </w:r>
            <w:r>
              <w:t>.</w:t>
            </w:r>
          </w:p>
          <w:p w:rsidR="008423E4" w:rsidRPr="00E26B13" w:rsidRDefault="00A44F15" w:rsidP="00AD7939">
            <w:pPr>
              <w:rPr>
                <w:b/>
              </w:rPr>
            </w:pPr>
          </w:p>
        </w:tc>
      </w:tr>
      <w:tr w:rsidR="000B301C" w:rsidTr="00345119">
        <w:tc>
          <w:tcPr>
            <w:tcW w:w="9576" w:type="dxa"/>
          </w:tcPr>
          <w:p w:rsidR="0017725B" w:rsidRDefault="00A44F15" w:rsidP="00AD79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44F15" w:rsidP="00AD7939">
            <w:pPr>
              <w:rPr>
                <w:b/>
                <w:u w:val="single"/>
              </w:rPr>
            </w:pPr>
          </w:p>
          <w:p w:rsidR="00F05B75" w:rsidRPr="00F05B75" w:rsidRDefault="00A44F15" w:rsidP="00AD7939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:rsidR="0017725B" w:rsidRPr="0017725B" w:rsidRDefault="00A44F15" w:rsidP="00AD7939">
            <w:pPr>
              <w:rPr>
                <w:b/>
                <w:u w:val="single"/>
              </w:rPr>
            </w:pPr>
          </w:p>
        </w:tc>
      </w:tr>
      <w:tr w:rsidR="000B301C" w:rsidTr="00345119">
        <w:tc>
          <w:tcPr>
            <w:tcW w:w="9576" w:type="dxa"/>
          </w:tcPr>
          <w:p w:rsidR="008423E4" w:rsidRPr="00A8133F" w:rsidRDefault="00A44F15" w:rsidP="00AD793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44F15" w:rsidP="00AD7939"/>
          <w:p w:rsidR="00F05B75" w:rsidRDefault="00A44F15" w:rsidP="00AD7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governing body of a public retirement system </w:t>
            </w:r>
            <w:r>
              <w:t xml:space="preserve">in </w:t>
            </w:r>
            <w:r>
              <w:t>SECTION 1</w:t>
            </w:r>
            <w:r>
              <w:t xml:space="preserve"> of this bill.</w:t>
            </w:r>
          </w:p>
          <w:p w:rsidR="008423E4" w:rsidRPr="00E21FDC" w:rsidRDefault="00A44F15" w:rsidP="00AD7939">
            <w:pPr>
              <w:rPr>
                <w:b/>
              </w:rPr>
            </w:pPr>
          </w:p>
        </w:tc>
      </w:tr>
      <w:tr w:rsidR="000B301C" w:rsidTr="00345119">
        <w:tc>
          <w:tcPr>
            <w:tcW w:w="9576" w:type="dxa"/>
          </w:tcPr>
          <w:p w:rsidR="008423E4" w:rsidRPr="00A8133F" w:rsidRDefault="00A44F15" w:rsidP="00AD793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44F15" w:rsidP="00AD7939"/>
          <w:p w:rsidR="001868C3" w:rsidRDefault="00A44F15" w:rsidP="00AD7939">
            <w:pPr>
              <w:pStyle w:val="Header"/>
              <w:jc w:val="both"/>
            </w:pPr>
            <w:r>
              <w:t>C.S.S.B.</w:t>
            </w:r>
            <w:r>
              <w:t xml:space="preserve"> 1570 amends the Government Code to establish that </w:t>
            </w:r>
            <w:r>
              <w:t xml:space="preserve">certain </w:t>
            </w:r>
            <w:r>
              <w:t>member</w:t>
            </w:r>
            <w:r>
              <w:t>s</w:t>
            </w:r>
            <w:r>
              <w:t xml:space="preserve"> of a public retirement system </w:t>
            </w:r>
            <w:r>
              <w:t>are</w:t>
            </w:r>
            <w:r>
              <w:t xml:space="preserve"> not eligible to </w:t>
            </w:r>
            <w:r w:rsidRPr="00F60C38">
              <w:t>receive a service retirement annuity under the</w:t>
            </w:r>
            <w:r w:rsidRPr="00F60C38">
              <w:t xml:space="preserve"> retirement system if the member is convicted of a qualifying felony for conduct arising directly from the member's service as a corrections officer.</w:t>
            </w:r>
            <w:r>
              <w:t xml:space="preserve"> </w:t>
            </w:r>
            <w:r>
              <w:t>The bill defines "qualifying felony" as any felony involving an incarcerated member of a criminal street g</w:t>
            </w:r>
            <w:r>
              <w:t xml:space="preserve">ang and makes the bill's provisions applicable only to a person who is a member of the employee class of the Employees Retirement System of Texas (ERS) because the person </w:t>
            </w:r>
            <w:r w:rsidRPr="001868C3">
              <w:t>serves as a corrections officer for the Texas Department of Criminal Justice</w:t>
            </w:r>
            <w:r>
              <w:t xml:space="preserve"> (TDCJ)</w:t>
            </w:r>
            <w:r w:rsidRPr="001868C3">
              <w:t xml:space="preserve"> o</w:t>
            </w:r>
            <w:r w:rsidRPr="001868C3">
              <w:t>r the Texa</w:t>
            </w:r>
            <w:r>
              <w:t>s Juvenile Justice Department (TJJD) or</w:t>
            </w:r>
            <w:r>
              <w:t xml:space="preserve"> who is</w:t>
            </w:r>
            <w:r>
              <w:t xml:space="preserve"> </w:t>
            </w:r>
            <w:r w:rsidRPr="001868C3">
              <w:t>otherwise eligible for membership in a public retirement system wholly or partly because the person served a</w:t>
            </w:r>
            <w:r>
              <w:t xml:space="preserve">s a corrections officer for TDCJ </w:t>
            </w:r>
            <w:r w:rsidRPr="001868C3">
              <w:t xml:space="preserve">or </w:t>
            </w:r>
            <w:r>
              <w:t xml:space="preserve">TJJD. </w:t>
            </w:r>
          </w:p>
          <w:p w:rsidR="001868C3" w:rsidRDefault="00A44F15" w:rsidP="00AD7939">
            <w:pPr>
              <w:pStyle w:val="Header"/>
              <w:jc w:val="both"/>
            </w:pPr>
          </w:p>
          <w:p w:rsidR="00DC1916" w:rsidRDefault="00A44F15" w:rsidP="00AD7939">
            <w:pPr>
              <w:pStyle w:val="Header"/>
              <w:jc w:val="both"/>
            </w:pPr>
            <w:r>
              <w:t>C.S.S.B.</w:t>
            </w:r>
            <w:r>
              <w:t xml:space="preserve"> 1570</w:t>
            </w:r>
            <w:r>
              <w:t xml:space="preserve"> requires the retirement system, </w:t>
            </w:r>
            <w:r w:rsidRPr="00F60C38">
              <w:t>o</w:t>
            </w:r>
            <w:r w:rsidRPr="00F60C38">
              <w:t xml:space="preserve">n receipt of notice </w:t>
            </w:r>
            <w:r>
              <w:t>an applicable court is required to send</w:t>
            </w:r>
            <w:r>
              <w:t xml:space="preserve"> </w:t>
            </w:r>
            <w:r w:rsidRPr="00F60C38">
              <w:t xml:space="preserve">of a </w:t>
            </w:r>
            <w:r>
              <w:t xml:space="preserve">person's </w:t>
            </w:r>
            <w:r w:rsidRPr="00F60C38">
              <w:t xml:space="preserve">conviction </w:t>
            </w:r>
            <w:r>
              <w:t>for</w:t>
            </w:r>
            <w:r>
              <w:t xml:space="preserve"> a qualifying felony, </w:t>
            </w:r>
            <w:r>
              <w:t xml:space="preserve">of </w:t>
            </w:r>
            <w:r w:rsidRPr="00F60C38">
              <w:t xml:space="preserve">any similar notice of a conviction of a qualifying felony from a </w:t>
            </w:r>
            <w:r>
              <w:t>U.S.</w:t>
            </w:r>
            <w:r w:rsidRPr="00F60C38">
              <w:t xml:space="preserve"> district court or </w:t>
            </w:r>
            <w:r>
              <w:t>U.S.</w:t>
            </w:r>
            <w:r w:rsidRPr="00F60C38">
              <w:t xml:space="preserve"> attorney, or </w:t>
            </w:r>
            <w:r>
              <w:t xml:space="preserve">of </w:t>
            </w:r>
            <w:r w:rsidRPr="00F60C38">
              <w:t>any other information that the ret</w:t>
            </w:r>
            <w:r w:rsidRPr="00F60C38">
              <w:t xml:space="preserve">irement system determines by rule is sufficient to establish a conviction of a qualifying felony, </w:t>
            </w:r>
            <w:r>
              <w:t>to</w:t>
            </w:r>
            <w:r w:rsidRPr="00F60C38">
              <w:t xml:space="preserve"> suspend payments of a service retirement annuity to a person the</w:t>
            </w:r>
            <w:r>
              <w:t xml:space="preserve"> retirement</w:t>
            </w:r>
            <w:r w:rsidRPr="00F60C38">
              <w:t xml:space="preserve"> system determines is in</w:t>
            </w:r>
            <w:r>
              <w:t xml:space="preserve">eligible to receive the annuity. The bill </w:t>
            </w:r>
            <w:r>
              <w:t>establishes th</w:t>
            </w:r>
            <w:r>
              <w:t xml:space="preserve">at </w:t>
            </w:r>
            <w:r>
              <w:t>a</w:t>
            </w:r>
            <w:r w:rsidRPr="00F60C38">
              <w:t xml:space="preserve"> person whose conviction is overturned on appeal or who meets the requirements for innocence</w:t>
            </w:r>
            <w:r>
              <w:t xml:space="preserve"> under</w:t>
            </w:r>
            <w:r w:rsidRPr="00F60C38">
              <w:t xml:space="preserve"> </w:t>
            </w:r>
            <w:r>
              <w:t>statutory provisions relating to wrongful imprisonment</w:t>
            </w:r>
            <w:r>
              <w:t>:</w:t>
            </w:r>
          </w:p>
          <w:p w:rsidR="00DC1916" w:rsidRDefault="00A44F15" w:rsidP="00AD7939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is entitled</w:t>
            </w:r>
            <w:r>
              <w:t xml:space="preserve"> to receive an amount equal to the accrued total of payments and interest earned on the payments withheld d</w:t>
            </w:r>
            <w:r>
              <w:t>uring the suspension period</w:t>
            </w:r>
            <w:r>
              <w:t>;</w:t>
            </w:r>
            <w:r>
              <w:t xml:space="preserve"> and </w:t>
            </w:r>
          </w:p>
          <w:p w:rsidR="00DC1916" w:rsidRDefault="00A44F15" w:rsidP="00AD7939">
            <w:pPr>
              <w:pStyle w:val="Header"/>
              <w:numPr>
                <w:ilvl w:val="0"/>
                <w:numId w:val="3"/>
              </w:numPr>
              <w:jc w:val="both"/>
            </w:pPr>
            <w:r>
              <w:t>may</w:t>
            </w:r>
            <w:r>
              <w:t xml:space="preserve"> </w:t>
            </w:r>
            <w:r>
              <w:t>resume receipt of annuity payments on payment to the retirement system of an amount equal to the contr</w:t>
            </w:r>
            <w:r>
              <w:t xml:space="preserve">ibutions </w:t>
            </w:r>
            <w:r>
              <w:t>refunded to the person</w:t>
            </w:r>
            <w:r>
              <w:t xml:space="preserve"> under the bill's provisions</w:t>
            </w:r>
            <w:r>
              <w:t xml:space="preserve">. </w:t>
            </w:r>
          </w:p>
          <w:p w:rsidR="00DC1916" w:rsidRDefault="00A44F15" w:rsidP="00AD7939">
            <w:pPr>
              <w:pStyle w:val="Header"/>
              <w:jc w:val="both"/>
            </w:pPr>
          </w:p>
          <w:p w:rsidR="00991647" w:rsidRDefault="00A44F15" w:rsidP="00AD7939">
            <w:pPr>
              <w:pStyle w:val="Header"/>
              <w:jc w:val="both"/>
            </w:pPr>
            <w:r>
              <w:t>C.S.S.B.</w:t>
            </w:r>
            <w:r>
              <w:t xml:space="preserve"> 1570 </w:t>
            </w:r>
            <w:r>
              <w:t>entitles</w:t>
            </w:r>
            <w:r>
              <w:t xml:space="preserve"> a </w:t>
            </w:r>
            <w:r w:rsidRPr="00110556">
              <w:t>member who is ineligible</w:t>
            </w:r>
            <w:r>
              <w:t xml:space="preserve"> to </w:t>
            </w:r>
            <w:r w:rsidRPr="00991647">
              <w:t xml:space="preserve">receive a service retirement annuity </w:t>
            </w:r>
            <w:r>
              <w:t xml:space="preserve">under the bill's provisions </w:t>
            </w:r>
            <w:r w:rsidRPr="00991647">
              <w:t>to a refund of the member's service retirement annuity contributions, including inte</w:t>
            </w:r>
            <w:r w:rsidRPr="00991647">
              <w:t>rest earned on those contributions.</w:t>
            </w:r>
            <w:r>
              <w:t xml:space="preserve"> </w:t>
            </w:r>
            <w:r>
              <w:t>Such a</w:t>
            </w:r>
            <w:r>
              <w:t xml:space="preserve"> refund</w:t>
            </w:r>
            <w:r>
              <w:t xml:space="preserve"> is subject</w:t>
            </w:r>
            <w:r>
              <w:t xml:space="preserve"> to </w:t>
            </w:r>
            <w:r w:rsidRPr="00991647">
              <w:t>an award of all or part of the member's service retirement annuity contributions to a former spouse, including as a just and right division of the contributions on divorce, payment of child su</w:t>
            </w:r>
            <w:r w:rsidRPr="00991647">
              <w:t>pport, or payment of spousal maintenance or contractual alimony or other order of a court.</w:t>
            </w:r>
            <w:r>
              <w:t xml:space="preserve"> The bill establishes that b</w:t>
            </w:r>
            <w:r w:rsidRPr="00991647">
              <w:t xml:space="preserve">enefits payable to an alternate payee under </w:t>
            </w:r>
            <w:r>
              <w:t>statutory provisions relating to domestic relations orders and spousal consent</w:t>
            </w:r>
            <w:r w:rsidRPr="00991647">
              <w:t xml:space="preserve"> who is recogniz</w:t>
            </w:r>
            <w:r w:rsidRPr="00991647">
              <w:t>ed by a qualified domestic relations order established b</w:t>
            </w:r>
            <w:r>
              <w:t>efore the bill's effective date</w:t>
            </w:r>
            <w:r w:rsidRPr="00991647">
              <w:t xml:space="preserve"> are not affected by a member's ineligibility to receive a service retirement annuity </w:t>
            </w:r>
            <w:r>
              <w:t xml:space="preserve">under the bill's provisions. </w:t>
            </w:r>
          </w:p>
          <w:p w:rsidR="00991647" w:rsidRDefault="00A44F15" w:rsidP="00AD7939">
            <w:pPr>
              <w:pStyle w:val="Header"/>
              <w:jc w:val="both"/>
            </w:pPr>
          </w:p>
          <w:p w:rsidR="00BA1B3D" w:rsidRDefault="00A44F15" w:rsidP="00AD7939">
            <w:pPr>
              <w:pStyle w:val="Header"/>
              <w:jc w:val="both"/>
            </w:pPr>
            <w:r>
              <w:t>C.S.S.B.</w:t>
            </w:r>
            <w:r>
              <w:t xml:space="preserve"> 1570 </w:t>
            </w:r>
            <w:r>
              <w:t>authorizes a court</w:t>
            </w:r>
            <w:r>
              <w:t xml:space="preserve">, </w:t>
            </w:r>
            <w:r>
              <w:t>on conviction of a</w:t>
            </w:r>
            <w:r>
              <w:t xml:space="preserve"> member for a qualifying felony</w:t>
            </w:r>
            <w:r>
              <w:t xml:space="preserve"> and </w:t>
            </w:r>
            <w:r w:rsidRPr="00991647">
              <w:t>in the same manner as in a divorce or annulment proceeding,</w:t>
            </w:r>
            <w:r>
              <w:t xml:space="preserve"> to </w:t>
            </w:r>
            <w:r w:rsidRPr="00991647">
              <w:t>make a just and right division of the member's service retirement annuity by awarding to the member's spouse all or part of the community property interest i</w:t>
            </w:r>
            <w:r w:rsidRPr="00991647">
              <w:t xml:space="preserve">n the </w:t>
            </w:r>
            <w:r>
              <w:t>annuity forfeited by the member</w:t>
            </w:r>
            <w:r>
              <w:t>.</w:t>
            </w:r>
            <w:r>
              <w:t xml:space="preserve"> </w:t>
            </w:r>
            <w:r>
              <w:t xml:space="preserve">The bill requires a court, on such a conviction and </w:t>
            </w:r>
            <w:r>
              <w:t xml:space="preserve">if the member's service </w:t>
            </w:r>
            <w:r w:rsidRPr="00BA1B3D">
              <w:t>retirement annuity was partitioned or exchanged by w</w:t>
            </w:r>
            <w:r>
              <w:t xml:space="preserve">ritten agreement of the spouses </w:t>
            </w:r>
            <w:r w:rsidRPr="00BA1B3D">
              <w:t>before the member's commission of the offense,</w:t>
            </w:r>
            <w:r>
              <w:t xml:space="preserve"> to</w:t>
            </w:r>
            <w:r w:rsidRPr="00BA1B3D">
              <w:t xml:space="preserve"> award t</w:t>
            </w:r>
            <w:r w:rsidRPr="00BA1B3D">
              <w:t>he annuity forfeited by the member to the member's spouse as provided in the agreement.</w:t>
            </w:r>
          </w:p>
          <w:p w:rsidR="00BA1B3D" w:rsidRDefault="00A44F15" w:rsidP="00AD7939">
            <w:pPr>
              <w:pStyle w:val="Header"/>
              <w:jc w:val="both"/>
            </w:pPr>
          </w:p>
          <w:p w:rsidR="00BA1B3D" w:rsidRDefault="00A44F15" w:rsidP="00AD7939">
            <w:pPr>
              <w:pStyle w:val="Header"/>
              <w:jc w:val="both"/>
            </w:pPr>
            <w:r>
              <w:t>C.S.S.B. 1570 establishes that i</w:t>
            </w:r>
            <w:r w:rsidRPr="00BA1B3D">
              <w:t xml:space="preserve">neligibility for a service retirement annuity does not impair a person's right to any other retirement benefit for which the person is </w:t>
            </w:r>
            <w:r w:rsidRPr="00BA1B3D">
              <w:t>eligible.</w:t>
            </w:r>
            <w:r>
              <w:t xml:space="preserve"> The bill requires t</w:t>
            </w:r>
            <w:r w:rsidRPr="00BA1B3D">
              <w:t xml:space="preserve">he governing body of a public retirement system </w:t>
            </w:r>
            <w:r>
              <w:t>to</w:t>
            </w:r>
            <w:r w:rsidRPr="00BA1B3D">
              <w:t xml:space="preserve"> adopt rules and procedures to implement </w:t>
            </w:r>
            <w:r>
              <w:t>the bill's provisions</w:t>
            </w:r>
            <w:r>
              <w:t xml:space="preserve"> relating to certain corrections employees who are ineligible for a retirement annuity</w:t>
            </w:r>
            <w:r>
              <w:t xml:space="preserve">. The bill establishes that, </w:t>
            </w:r>
            <w:r w:rsidRPr="00BA1B3D">
              <w:t>if the spouse of a member convicted of a qualifying felony is convicted of the fel</w:t>
            </w:r>
            <w:r>
              <w:t>ony as a party to the offense</w:t>
            </w:r>
            <w:r w:rsidRPr="00BA1B3D">
              <w:t xml:space="preserve"> or of another qualifying offense arising o</w:t>
            </w:r>
            <w:r>
              <w:t xml:space="preserve">ut of the same criminal episode, </w:t>
            </w:r>
            <w:r w:rsidRPr="00BA1B3D">
              <w:t>the spouse forfeits the member's service retirement annuity and servi</w:t>
            </w:r>
            <w:r w:rsidRPr="00BA1B3D">
              <w:t>ce retirement contributions to the same extent as the member.</w:t>
            </w:r>
          </w:p>
          <w:p w:rsidR="00BA1B3D" w:rsidRDefault="00A44F15" w:rsidP="00AD7939">
            <w:pPr>
              <w:pStyle w:val="Header"/>
              <w:jc w:val="both"/>
            </w:pPr>
          </w:p>
          <w:p w:rsidR="00EA2175" w:rsidRDefault="00A44F15" w:rsidP="00AD7939">
            <w:pPr>
              <w:pStyle w:val="Header"/>
              <w:jc w:val="both"/>
            </w:pPr>
            <w:r>
              <w:t>C.S.S.B.</w:t>
            </w:r>
            <w:r>
              <w:t xml:space="preserve"> 1570 amends the Code of Criminal Procedure to require a judge, in a trial of a qualifying felony, to make </w:t>
            </w:r>
            <w:r w:rsidRPr="00BA1B3D">
              <w:t>an affirmative finding of fact and enter the affirmative finding in the judgme</w:t>
            </w:r>
            <w:r w:rsidRPr="00BA1B3D">
              <w:t>nt in the case if the judge d</w:t>
            </w:r>
            <w:r>
              <w:t>etermines that the defendant is</w:t>
            </w:r>
            <w:r>
              <w:t>:</w:t>
            </w:r>
          </w:p>
          <w:p w:rsidR="00EA2175" w:rsidRDefault="00A44F15" w:rsidP="00AD7939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BA1B3D">
              <w:t xml:space="preserve">a member of the employee class while a member of </w:t>
            </w:r>
            <w:r>
              <w:t>ERS</w:t>
            </w:r>
            <w:r w:rsidRPr="00BA1B3D">
              <w:t xml:space="preserve"> because the person serves as a corrections officer for </w:t>
            </w:r>
            <w:r>
              <w:t>TDCJ</w:t>
            </w:r>
            <w:r w:rsidRPr="00BA1B3D">
              <w:t xml:space="preserve"> or </w:t>
            </w:r>
            <w:r>
              <w:t>TJJD</w:t>
            </w:r>
            <w:r>
              <w:t>;</w:t>
            </w:r>
            <w:r w:rsidRPr="00BA1B3D">
              <w:t xml:space="preserve"> o</w:t>
            </w:r>
            <w:r>
              <w:t>r</w:t>
            </w:r>
            <w:r w:rsidRPr="00BA1B3D">
              <w:t xml:space="preserve"> </w:t>
            </w:r>
          </w:p>
          <w:p w:rsidR="00EA2175" w:rsidRDefault="00A44F15" w:rsidP="00AD7939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BA1B3D">
              <w:t xml:space="preserve">otherwise eligible for membership in a public retirement system wholly or partly because the person served as a corrections officer for </w:t>
            </w:r>
            <w:r>
              <w:t>TDCJ</w:t>
            </w:r>
            <w:r w:rsidRPr="00BA1B3D">
              <w:t xml:space="preserve"> or </w:t>
            </w:r>
            <w:r>
              <w:t>TJJD</w:t>
            </w:r>
            <w:r>
              <w:t>.</w:t>
            </w:r>
          </w:p>
          <w:p w:rsidR="00BA1B3D" w:rsidRDefault="00A44F15" w:rsidP="00AD7939">
            <w:pPr>
              <w:pStyle w:val="Header"/>
              <w:jc w:val="both"/>
            </w:pPr>
            <w:r>
              <w:t>The bill requires a judge who makes the affirmative finding to make the determination and provide the noti</w:t>
            </w:r>
            <w:r>
              <w:t>ce required under the bill's provisions</w:t>
            </w:r>
            <w:r>
              <w:t xml:space="preserve"> relating to certain corrections employees who are ineligible for a retirement annuity</w:t>
            </w:r>
            <w:r>
              <w:t xml:space="preserve">. The bill establishes that a judgment under statutory provisions relating to judgment and sentence should reflect </w:t>
            </w:r>
            <w:r>
              <w:t>affirmative find</w:t>
            </w:r>
            <w:r>
              <w:t xml:space="preserve">ings entered </w:t>
            </w:r>
            <w:r>
              <w:t>pursuant to the bill's</w:t>
            </w:r>
            <w:r>
              <w:t xml:space="preserve"> provisions</w:t>
            </w:r>
            <w:r>
              <w:t xml:space="preserve"> relating to a finding regarding an offense related to conduct of certain corrections employees</w:t>
            </w:r>
            <w:r>
              <w:t xml:space="preserve">.           </w:t>
            </w:r>
          </w:p>
          <w:p w:rsidR="008423E4" w:rsidRPr="00835628" w:rsidRDefault="00A44F15" w:rsidP="00AD7939">
            <w:pPr>
              <w:rPr>
                <w:b/>
              </w:rPr>
            </w:pPr>
          </w:p>
        </w:tc>
      </w:tr>
      <w:tr w:rsidR="000B301C" w:rsidTr="00345119">
        <w:tc>
          <w:tcPr>
            <w:tcW w:w="9576" w:type="dxa"/>
          </w:tcPr>
          <w:p w:rsidR="008423E4" w:rsidRPr="00A8133F" w:rsidRDefault="00A44F15" w:rsidP="00AD793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44F15" w:rsidP="00AD7939"/>
          <w:p w:rsidR="008423E4" w:rsidRPr="003624F2" w:rsidRDefault="00A44F15" w:rsidP="00AD7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44F15" w:rsidP="00AD7939">
            <w:pPr>
              <w:rPr>
                <w:b/>
              </w:rPr>
            </w:pPr>
          </w:p>
        </w:tc>
      </w:tr>
      <w:tr w:rsidR="000B301C" w:rsidTr="00345119">
        <w:tc>
          <w:tcPr>
            <w:tcW w:w="9576" w:type="dxa"/>
          </w:tcPr>
          <w:p w:rsidR="003A7356" w:rsidRDefault="00A44F15" w:rsidP="00AD793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1808B4" w:rsidRPr="00AD3F1C" w:rsidRDefault="00A44F15" w:rsidP="00AD7939">
            <w:pPr>
              <w:jc w:val="both"/>
            </w:pPr>
          </w:p>
          <w:p w:rsidR="00560193" w:rsidRDefault="00A44F15" w:rsidP="00AD7939">
            <w:pPr>
              <w:jc w:val="both"/>
            </w:pPr>
            <w:r>
              <w:t xml:space="preserve">C.S.S.B. 1570 differs from the </w:t>
            </w:r>
            <w:r>
              <w:t>engrossed</w:t>
            </w:r>
            <w:r>
              <w:t xml:space="preserve"> in minor or nonsubstantive ways by conforming to certain bill drafting conventions.</w:t>
            </w:r>
          </w:p>
          <w:p w:rsidR="00560193" w:rsidRPr="00560193" w:rsidRDefault="00A44F15" w:rsidP="00AD7939">
            <w:pPr>
              <w:jc w:val="both"/>
            </w:pPr>
          </w:p>
        </w:tc>
      </w:tr>
    </w:tbl>
    <w:p w:rsidR="008423E4" w:rsidRPr="00BE0E75" w:rsidRDefault="00A44F1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44F1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4F15">
      <w:r>
        <w:separator/>
      </w:r>
    </w:p>
  </w:endnote>
  <w:endnote w:type="continuationSeparator" w:id="0">
    <w:p w:rsidR="00000000" w:rsidRDefault="00A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4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301C" w:rsidTr="009C1E9A">
      <w:trPr>
        <w:cantSplit/>
      </w:trPr>
      <w:tc>
        <w:tcPr>
          <w:tcW w:w="0" w:type="pct"/>
        </w:tcPr>
        <w:p w:rsidR="00137D90" w:rsidRDefault="00A44F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44F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44F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44F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44F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301C" w:rsidTr="009C1E9A">
      <w:trPr>
        <w:cantSplit/>
      </w:trPr>
      <w:tc>
        <w:tcPr>
          <w:tcW w:w="0" w:type="pct"/>
        </w:tcPr>
        <w:p w:rsidR="00EC379B" w:rsidRDefault="00A44F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44F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35015</w:t>
          </w:r>
        </w:p>
      </w:tc>
      <w:tc>
        <w:tcPr>
          <w:tcW w:w="2453" w:type="pct"/>
        </w:tcPr>
        <w:p w:rsidR="00EC379B" w:rsidRDefault="00A44F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19.137.445</w:t>
          </w:r>
          <w:r>
            <w:fldChar w:fldCharType="end"/>
          </w:r>
        </w:p>
      </w:tc>
    </w:tr>
    <w:tr w:rsidR="000B301C" w:rsidTr="009C1E9A">
      <w:trPr>
        <w:cantSplit/>
      </w:trPr>
      <w:tc>
        <w:tcPr>
          <w:tcW w:w="0" w:type="pct"/>
        </w:tcPr>
        <w:p w:rsidR="00EC379B" w:rsidRDefault="00A44F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44F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30044</w:t>
          </w:r>
        </w:p>
      </w:tc>
      <w:tc>
        <w:tcPr>
          <w:tcW w:w="2453" w:type="pct"/>
        </w:tcPr>
        <w:p w:rsidR="00EC379B" w:rsidRDefault="00A44F15" w:rsidP="006D504F">
          <w:pPr>
            <w:pStyle w:val="Footer"/>
            <w:rPr>
              <w:rStyle w:val="PageNumber"/>
            </w:rPr>
          </w:pPr>
        </w:p>
        <w:p w:rsidR="00EC379B" w:rsidRDefault="00A44F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30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44F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44F1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44F1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4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4F15">
      <w:r>
        <w:separator/>
      </w:r>
    </w:p>
  </w:footnote>
  <w:footnote w:type="continuationSeparator" w:id="0">
    <w:p w:rsidR="00000000" w:rsidRDefault="00A4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4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4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4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181"/>
    <w:multiLevelType w:val="hybridMultilevel"/>
    <w:tmpl w:val="7AD600BE"/>
    <w:lvl w:ilvl="0" w:tplc="0AC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0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A4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22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A7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46A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0F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01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49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252"/>
    <w:multiLevelType w:val="hybridMultilevel"/>
    <w:tmpl w:val="A6C088C2"/>
    <w:lvl w:ilvl="0" w:tplc="C61C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C3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C2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64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7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6E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67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E5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49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4DC9"/>
    <w:multiLevelType w:val="hybridMultilevel"/>
    <w:tmpl w:val="DFF206E4"/>
    <w:lvl w:ilvl="0" w:tplc="5276F1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C92E4C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F260BB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578606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C266B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B9E9D8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A10F66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99EEE2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398FEB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484577"/>
    <w:multiLevelType w:val="hybridMultilevel"/>
    <w:tmpl w:val="56E86EC0"/>
    <w:lvl w:ilvl="0" w:tplc="FD8EB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48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03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2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2C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8E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0E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8C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1C"/>
    <w:rsid w:val="000B301C"/>
    <w:rsid w:val="00A4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2274EF-31B5-4162-8232-5D9916A4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5B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5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5B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B75"/>
    <w:rPr>
      <w:b/>
      <w:bCs/>
    </w:rPr>
  </w:style>
  <w:style w:type="paragraph" w:styleId="Revision">
    <w:name w:val="Revision"/>
    <w:hidden/>
    <w:uiPriority w:val="99"/>
    <w:semiHidden/>
    <w:rsid w:val="00F05B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5584</Characters>
  <Application>Microsoft Office Word</Application>
  <DocSecurity>4</DocSecurity>
  <Lines>108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SB01570 (Committee Report (Substituted))</vt:lpstr>
    </vt:vector>
  </TitlesOfParts>
  <Company>State of Texas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35015</dc:subject>
  <dc:creator>State of Texas</dc:creator>
  <dc:description>SB 1570 by Flores-(H)Pensions, Investments &amp; Financial Services (Substitute Document Number: 86R 30044)</dc:description>
  <cp:lastModifiedBy>Scotty Wimberley</cp:lastModifiedBy>
  <cp:revision>2</cp:revision>
  <cp:lastPrinted>2019-05-14T16:34:00Z</cp:lastPrinted>
  <dcterms:created xsi:type="dcterms:W3CDTF">2019-05-17T19:06:00Z</dcterms:created>
  <dcterms:modified xsi:type="dcterms:W3CDTF">2019-05-17T19:06:00Z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19.137.445</vt:lpwstr>
  </property>
</Properties>
</file>