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E2955" w:rsidTr="00345119">
        <w:tc>
          <w:tcPr>
            <w:tcW w:w="9576" w:type="dxa"/>
            <w:noWrap/>
          </w:tcPr>
          <w:p w:rsidR="008423E4" w:rsidRPr="0022177D" w:rsidRDefault="0081548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15485" w:rsidP="008423E4">
      <w:pPr>
        <w:jc w:val="center"/>
      </w:pPr>
    </w:p>
    <w:p w:rsidR="008423E4" w:rsidRPr="00B31F0E" w:rsidRDefault="00815485" w:rsidP="008423E4"/>
    <w:p w:rsidR="008423E4" w:rsidRPr="00742794" w:rsidRDefault="0081548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2955" w:rsidTr="00345119">
        <w:tc>
          <w:tcPr>
            <w:tcW w:w="9576" w:type="dxa"/>
          </w:tcPr>
          <w:p w:rsidR="008423E4" w:rsidRPr="00861995" w:rsidRDefault="00815485" w:rsidP="00345119">
            <w:pPr>
              <w:jc w:val="right"/>
            </w:pPr>
            <w:r>
              <w:t>C.S.S.B. 1572</w:t>
            </w:r>
          </w:p>
        </w:tc>
      </w:tr>
      <w:tr w:rsidR="005E2955" w:rsidTr="00345119">
        <w:tc>
          <w:tcPr>
            <w:tcW w:w="9576" w:type="dxa"/>
          </w:tcPr>
          <w:p w:rsidR="008423E4" w:rsidRPr="00861995" w:rsidRDefault="00815485" w:rsidP="00EF61BC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5E2955" w:rsidTr="00345119">
        <w:tc>
          <w:tcPr>
            <w:tcW w:w="9576" w:type="dxa"/>
          </w:tcPr>
          <w:p w:rsidR="008423E4" w:rsidRPr="00861995" w:rsidRDefault="00815485" w:rsidP="00345119">
            <w:pPr>
              <w:jc w:val="right"/>
            </w:pPr>
            <w:r>
              <w:t>Urban Affairs</w:t>
            </w:r>
          </w:p>
        </w:tc>
      </w:tr>
      <w:tr w:rsidR="005E2955" w:rsidTr="00345119">
        <w:tc>
          <w:tcPr>
            <w:tcW w:w="9576" w:type="dxa"/>
          </w:tcPr>
          <w:p w:rsidR="008423E4" w:rsidRDefault="0081548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15485" w:rsidP="008423E4">
      <w:pPr>
        <w:tabs>
          <w:tab w:val="right" w:pos="9360"/>
        </w:tabs>
      </w:pPr>
    </w:p>
    <w:p w:rsidR="008423E4" w:rsidRDefault="00815485" w:rsidP="008423E4"/>
    <w:p w:rsidR="008423E4" w:rsidRDefault="0081548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E2955" w:rsidTr="00345119">
        <w:tc>
          <w:tcPr>
            <w:tcW w:w="9576" w:type="dxa"/>
          </w:tcPr>
          <w:p w:rsidR="008423E4" w:rsidRPr="00A8133F" w:rsidRDefault="00815485" w:rsidP="00AD56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15485" w:rsidP="00AD564D"/>
          <w:p w:rsidR="008423E4" w:rsidRDefault="00815485" w:rsidP="00AD56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Currently, </w:t>
            </w:r>
            <w:r>
              <w:t xml:space="preserve">certain </w:t>
            </w:r>
            <w:r w:rsidRPr="00C83135">
              <w:t>municipalit</w:t>
            </w:r>
            <w:r>
              <w:t xml:space="preserve">ies are authorized to </w:t>
            </w:r>
            <w:r w:rsidRPr="00C83135">
              <w:t xml:space="preserve">adopt an ordinance requiring owners of vacant buildings to register their building with a designated municipal official. </w:t>
            </w:r>
            <w:r>
              <w:t>G</w:t>
            </w:r>
            <w:r>
              <w:t>iven that</w:t>
            </w:r>
            <w:r w:rsidRPr="00C83135">
              <w:t xml:space="preserve"> </w:t>
            </w:r>
            <w:r>
              <w:t>a</w:t>
            </w:r>
            <w:r w:rsidRPr="00C83135">
              <w:t xml:space="preserve"> vacant building</w:t>
            </w:r>
            <w:r>
              <w:t xml:space="preserve"> can</w:t>
            </w:r>
            <w:r w:rsidRPr="00C83135">
              <w:t xml:space="preserve"> pose a threat to any community </w:t>
            </w:r>
            <w:r>
              <w:t>by</w:t>
            </w:r>
            <w:r w:rsidRPr="00C83135">
              <w:t xml:space="preserve"> attract</w:t>
            </w:r>
            <w:r>
              <w:t>ing</w:t>
            </w:r>
            <w:r w:rsidRPr="00C83135">
              <w:t xml:space="preserve"> vagrants and criminals or curious children who might be h</w:t>
            </w:r>
            <w:r w:rsidRPr="00C83135">
              <w:t>armed by the many hazards found within the property</w:t>
            </w:r>
            <w:r>
              <w:t>, there have been calls to allow additional municipalities to operate registries of vacant buildings</w:t>
            </w:r>
            <w:r w:rsidRPr="00C83135">
              <w:t>.</w:t>
            </w:r>
            <w:r>
              <w:t xml:space="preserve"> C.S.S.B. 1572 seeks to </w:t>
            </w:r>
            <w:r>
              <w:t>allow certain municipalities to provide for voluntary registration of vacant bui</w:t>
            </w:r>
            <w:r>
              <w:t>ldings</w:t>
            </w:r>
            <w:r>
              <w:t>.</w:t>
            </w:r>
            <w:r w:rsidRPr="00C83135">
              <w:t xml:space="preserve"> </w:t>
            </w:r>
          </w:p>
          <w:p w:rsidR="008423E4" w:rsidRPr="00E26B13" w:rsidRDefault="00815485" w:rsidP="00AD564D">
            <w:pPr>
              <w:rPr>
                <w:b/>
              </w:rPr>
            </w:pPr>
          </w:p>
        </w:tc>
      </w:tr>
      <w:tr w:rsidR="005E2955" w:rsidTr="00345119">
        <w:tc>
          <w:tcPr>
            <w:tcW w:w="9576" w:type="dxa"/>
          </w:tcPr>
          <w:p w:rsidR="0017725B" w:rsidRDefault="00815485" w:rsidP="00AD56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15485" w:rsidP="00AD564D">
            <w:pPr>
              <w:rPr>
                <w:b/>
                <w:u w:val="single"/>
              </w:rPr>
            </w:pPr>
          </w:p>
          <w:p w:rsidR="00536CE0" w:rsidRPr="00536CE0" w:rsidRDefault="00815485" w:rsidP="00AD564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:rsidR="0017725B" w:rsidRPr="0017725B" w:rsidRDefault="00815485" w:rsidP="00AD564D">
            <w:pPr>
              <w:rPr>
                <w:b/>
                <w:u w:val="single"/>
              </w:rPr>
            </w:pPr>
          </w:p>
        </w:tc>
      </w:tr>
      <w:tr w:rsidR="005E2955" w:rsidTr="00345119">
        <w:tc>
          <w:tcPr>
            <w:tcW w:w="9576" w:type="dxa"/>
          </w:tcPr>
          <w:p w:rsidR="008423E4" w:rsidRPr="00A8133F" w:rsidRDefault="00815485" w:rsidP="00AD56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15485" w:rsidP="00AD564D"/>
          <w:p w:rsidR="00536CE0" w:rsidRDefault="00815485" w:rsidP="00AD56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15485" w:rsidP="00AD564D">
            <w:pPr>
              <w:rPr>
                <w:b/>
              </w:rPr>
            </w:pPr>
          </w:p>
        </w:tc>
      </w:tr>
      <w:tr w:rsidR="005E2955" w:rsidTr="00345119">
        <w:tc>
          <w:tcPr>
            <w:tcW w:w="9576" w:type="dxa"/>
          </w:tcPr>
          <w:p w:rsidR="008423E4" w:rsidRPr="00A8133F" w:rsidRDefault="00815485" w:rsidP="00AD56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15485" w:rsidP="00AD564D"/>
          <w:p w:rsidR="008423E4" w:rsidRDefault="00815485" w:rsidP="00AD56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1572 amends the </w:t>
            </w:r>
            <w:r w:rsidRPr="00536CE0">
              <w:t>Local Government Code</w:t>
            </w:r>
            <w:r>
              <w:t xml:space="preserve"> </w:t>
            </w:r>
            <w:r>
              <w:t xml:space="preserve">to </w:t>
            </w:r>
            <w:r>
              <w:t xml:space="preserve">authorize </w:t>
            </w:r>
            <w:r>
              <w:t xml:space="preserve">a municipality located in </w:t>
            </w:r>
            <w:r w:rsidRPr="00787C48">
              <w:t xml:space="preserve">a county </w:t>
            </w:r>
            <w:r>
              <w:t xml:space="preserve">that </w:t>
            </w:r>
            <w:r w:rsidRPr="00787C48">
              <w:t>has a population of more than 285,000 and less than 300,000</w:t>
            </w:r>
            <w:r>
              <w:t xml:space="preserve"> and </w:t>
            </w:r>
            <w:r w:rsidRPr="00787C48">
              <w:t>borders the Gulf of Mexico</w:t>
            </w:r>
            <w:r>
              <w:t xml:space="preserve"> </w:t>
            </w:r>
            <w:r>
              <w:t>to adopt an ordinance</w:t>
            </w:r>
            <w:r>
              <w:t xml:space="preserve"> </w:t>
            </w:r>
            <w:r>
              <w:t xml:space="preserve">that allows but does not require </w:t>
            </w:r>
            <w:r>
              <w:t xml:space="preserve">owners of </w:t>
            </w:r>
            <w:r w:rsidRPr="00787C48">
              <w:t>vaca</w:t>
            </w:r>
            <w:r w:rsidRPr="00787C48">
              <w:t>nt buildings to register their buildings by filing a registration form with a designated municipal official</w:t>
            </w:r>
            <w:r>
              <w:t xml:space="preserve">. </w:t>
            </w:r>
            <w:r>
              <w:t xml:space="preserve">The bill prohibits </w:t>
            </w:r>
            <w:r>
              <w:t>that</w:t>
            </w:r>
            <w:r>
              <w:t xml:space="preserve"> authorization from being construed to </w:t>
            </w:r>
            <w:r w:rsidRPr="00C2582A">
              <w:t xml:space="preserve">grant a municipality authority other than the authority to adopt </w:t>
            </w:r>
            <w:r>
              <w:t>such an</w:t>
            </w:r>
            <w:r w:rsidRPr="00C2582A">
              <w:t xml:space="preserve"> ordinance</w:t>
            </w:r>
            <w:r>
              <w:t xml:space="preserve"> an</w:t>
            </w:r>
            <w:r>
              <w:t>d prohibits a municipality that adopt</w:t>
            </w:r>
            <w:r>
              <w:t>s</w:t>
            </w:r>
            <w:r>
              <w:t xml:space="preserve"> such an ordinance from placing a lien </w:t>
            </w:r>
            <w:r w:rsidRPr="00C2582A">
              <w:t>on a property solely because the property is registered</w:t>
            </w:r>
            <w:r>
              <w:t>.</w:t>
            </w:r>
          </w:p>
          <w:p w:rsidR="001908E3" w:rsidRPr="00835628" w:rsidRDefault="00815485" w:rsidP="00AD56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E2955" w:rsidTr="00345119">
        <w:tc>
          <w:tcPr>
            <w:tcW w:w="9576" w:type="dxa"/>
          </w:tcPr>
          <w:p w:rsidR="008423E4" w:rsidRPr="00A8133F" w:rsidRDefault="00815485" w:rsidP="00AD56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15485" w:rsidP="00AD564D"/>
          <w:p w:rsidR="008423E4" w:rsidRPr="003624F2" w:rsidRDefault="00815485" w:rsidP="00AD56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15485" w:rsidP="00AD564D">
            <w:pPr>
              <w:rPr>
                <w:b/>
              </w:rPr>
            </w:pPr>
          </w:p>
        </w:tc>
      </w:tr>
      <w:tr w:rsidR="005E2955" w:rsidTr="00345119">
        <w:tc>
          <w:tcPr>
            <w:tcW w:w="9576" w:type="dxa"/>
          </w:tcPr>
          <w:p w:rsidR="00EF61BC" w:rsidRDefault="00815485" w:rsidP="00AD56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</w:t>
            </w:r>
            <w:r>
              <w:rPr>
                <w:b/>
                <w:u w:val="single"/>
              </w:rPr>
              <w:t>ATE ENGROSSED AND SUBSTITUTE</w:t>
            </w:r>
          </w:p>
          <w:p w:rsidR="00C2582A" w:rsidRDefault="00815485" w:rsidP="00AD564D">
            <w:pPr>
              <w:jc w:val="both"/>
            </w:pPr>
          </w:p>
          <w:p w:rsidR="00C2582A" w:rsidRDefault="00815485" w:rsidP="00AD564D">
            <w:pPr>
              <w:jc w:val="both"/>
            </w:pPr>
            <w:r>
              <w:t>While C.S.S.B. 1572 may differ from the engrossed in minor or nonsubstantive ways, the following summarizes the substantial differences between the engrossed and committee substitute versions of the bill.</w:t>
            </w:r>
          </w:p>
          <w:p w:rsidR="00C2582A" w:rsidRDefault="00815485" w:rsidP="00AD564D">
            <w:pPr>
              <w:jc w:val="both"/>
            </w:pPr>
          </w:p>
          <w:p w:rsidR="00C2582A" w:rsidRDefault="00815485" w:rsidP="00AD564D">
            <w:pPr>
              <w:jc w:val="both"/>
            </w:pPr>
            <w:r>
              <w:t xml:space="preserve">The substitute </w:t>
            </w:r>
            <w:r>
              <w:t>changes</w:t>
            </w:r>
            <w:r>
              <w:t xml:space="preserve"> the </w:t>
            </w:r>
            <w:r>
              <w:t>type</w:t>
            </w:r>
            <w:r>
              <w:t xml:space="preserve"> of </w:t>
            </w:r>
            <w:r>
              <w:t xml:space="preserve">ordinance </w:t>
            </w:r>
            <w:r>
              <w:t xml:space="preserve">an applicable municipality may adopt </w:t>
            </w:r>
            <w:r>
              <w:t xml:space="preserve">from </w:t>
            </w:r>
            <w:r>
              <w:t xml:space="preserve">an ordinance </w:t>
            </w:r>
            <w:r>
              <w:t xml:space="preserve">requiring owners of vacant buildings to register their buildings to </w:t>
            </w:r>
            <w:r>
              <w:t xml:space="preserve">an ordinance </w:t>
            </w:r>
            <w:r>
              <w:t xml:space="preserve">that </w:t>
            </w:r>
            <w:r>
              <w:t>allow</w:t>
            </w:r>
            <w:r>
              <w:t>s</w:t>
            </w:r>
            <w:r>
              <w:t xml:space="preserve"> but </w:t>
            </w:r>
            <w:r>
              <w:t xml:space="preserve">does </w:t>
            </w:r>
            <w:r>
              <w:t>not requir</w:t>
            </w:r>
            <w:r>
              <w:t>e</w:t>
            </w:r>
            <w:r>
              <w:t xml:space="preserve"> </w:t>
            </w:r>
            <w:r>
              <w:t xml:space="preserve">those </w:t>
            </w:r>
            <w:r>
              <w:t xml:space="preserve">owners to register their buildings. </w:t>
            </w:r>
          </w:p>
          <w:p w:rsidR="005518B9" w:rsidRDefault="00815485" w:rsidP="00AD564D">
            <w:pPr>
              <w:jc w:val="both"/>
            </w:pPr>
          </w:p>
          <w:p w:rsidR="005A20D0" w:rsidRDefault="00815485" w:rsidP="00AD564D">
            <w:pPr>
              <w:jc w:val="both"/>
            </w:pPr>
            <w:r>
              <w:t>The substitut</w:t>
            </w:r>
            <w:r>
              <w:t>e includes provisions that:</w:t>
            </w:r>
          </w:p>
          <w:p w:rsidR="005A20D0" w:rsidRDefault="00815485" w:rsidP="00AD564D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prohibit the authorization to adopt such an ordinance from being construed to </w:t>
            </w:r>
            <w:r>
              <w:t xml:space="preserve">grant </w:t>
            </w:r>
            <w:r>
              <w:t>a</w:t>
            </w:r>
            <w:r w:rsidRPr="005518B9">
              <w:t xml:space="preserve"> </w:t>
            </w:r>
            <w:r w:rsidRPr="005518B9">
              <w:t xml:space="preserve">municipality authority other than the authority to adopt </w:t>
            </w:r>
            <w:r>
              <w:t>the</w:t>
            </w:r>
            <w:r w:rsidRPr="005518B9">
              <w:t xml:space="preserve"> ordinance</w:t>
            </w:r>
            <w:r>
              <w:t>; and</w:t>
            </w:r>
          </w:p>
          <w:p w:rsidR="005518B9" w:rsidRPr="00C2582A" w:rsidRDefault="00815485" w:rsidP="00AD564D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prohibit a municipality that adopts such an ordinance from placing</w:t>
            </w:r>
            <w:r>
              <w:t xml:space="preserve"> a lien on property solely because the property is registered.</w:t>
            </w:r>
          </w:p>
        </w:tc>
      </w:tr>
      <w:tr w:rsidR="005E2955" w:rsidTr="00345119">
        <w:tc>
          <w:tcPr>
            <w:tcW w:w="9576" w:type="dxa"/>
          </w:tcPr>
          <w:p w:rsidR="00EF61BC" w:rsidRPr="009C1E9A" w:rsidRDefault="00815485" w:rsidP="00AD564D">
            <w:pPr>
              <w:rPr>
                <w:b/>
                <w:u w:val="single"/>
              </w:rPr>
            </w:pPr>
          </w:p>
        </w:tc>
      </w:tr>
      <w:tr w:rsidR="005E2955" w:rsidTr="00345119">
        <w:tc>
          <w:tcPr>
            <w:tcW w:w="9576" w:type="dxa"/>
          </w:tcPr>
          <w:p w:rsidR="00EF61BC" w:rsidRPr="00EF61BC" w:rsidRDefault="00815485" w:rsidP="00AD564D">
            <w:pPr>
              <w:jc w:val="both"/>
            </w:pPr>
          </w:p>
        </w:tc>
      </w:tr>
    </w:tbl>
    <w:p w:rsidR="008423E4" w:rsidRPr="00BE0E75" w:rsidRDefault="0081548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1548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5485">
      <w:r>
        <w:separator/>
      </w:r>
    </w:p>
  </w:endnote>
  <w:endnote w:type="continuationSeparator" w:id="0">
    <w:p w:rsidR="00000000" w:rsidRDefault="0081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5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2955" w:rsidTr="009C1E9A">
      <w:trPr>
        <w:cantSplit/>
      </w:trPr>
      <w:tc>
        <w:tcPr>
          <w:tcW w:w="0" w:type="pct"/>
        </w:tcPr>
        <w:p w:rsidR="00137D90" w:rsidRDefault="008154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154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154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154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154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2955" w:rsidTr="009C1E9A">
      <w:trPr>
        <w:cantSplit/>
      </w:trPr>
      <w:tc>
        <w:tcPr>
          <w:tcW w:w="0" w:type="pct"/>
        </w:tcPr>
        <w:p w:rsidR="00EC379B" w:rsidRDefault="008154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154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34122</w:t>
          </w:r>
        </w:p>
      </w:tc>
      <w:tc>
        <w:tcPr>
          <w:tcW w:w="2453" w:type="pct"/>
        </w:tcPr>
        <w:p w:rsidR="00EC379B" w:rsidRDefault="008154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19.135.716</w:t>
          </w:r>
          <w:r>
            <w:fldChar w:fldCharType="end"/>
          </w:r>
        </w:p>
      </w:tc>
    </w:tr>
    <w:tr w:rsidR="005E2955" w:rsidTr="009C1E9A">
      <w:trPr>
        <w:cantSplit/>
      </w:trPr>
      <w:tc>
        <w:tcPr>
          <w:tcW w:w="0" w:type="pct"/>
        </w:tcPr>
        <w:p w:rsidR="00EC379B" w:rsidRDefault="008154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154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33861</w:t>
          </w:r>
        </w:p>
      </w:tc>
      <w:tc>
        <w:tcPr>
          <w:tcW w:w="2453" w:type="pct"/>
        </w:tcPr>
        <w:p w:rsidR="00EC379B" w:rsidRDefault="00815485" w:rsidP="006D504F">
          <w:pPr>
            <w:pStyle w:val="Footer"/>
            <w:rPr>
              <w:rStyle w:val="PageNumber"/>
            </w:rPr>
          </w:pPr>
        </w:p>
        <w:p w:rsidR="00EC379B" w:rsidRDefault="008154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29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154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1548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1548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5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5485">
      <w:r>
        <w:separator/>
      </w:r>
    </w:p>
  </w:footnote>
  <w:footnote w:type="continuationSeparator" w:id="0">
    <w:p w:rsidR="00000000" w:rsidRDefault="0081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5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5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5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32564"/>
    <w:multiLevelType w:val="hybridMultilevel"/>
    <w:tmpl w:val="35FA0ADC"/>
    <w:lvl w:ilvl="0" w:tplc="E3561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84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C4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26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0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07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E5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CC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16A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5"/>
    <w:rsid w:val="005E2955"/>
    <w:rsid w:val="0081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7B3D27-1A47-4C0C-8E81-5512A6EE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7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C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C48"/>
    <w:rPr>
      <w:b/>
      <w:bCs/>
    </w:rPr>
  </w:style>
  <w:style w:type="paragraph" w:styleId="ListParagraph">
    <w:name w:val="List Paragraph"/>
    <w:basedOn w:val="Normal"/>
    <w:uiPriority w:val="34"/>
    <w:qFormat/>
    <w:rsid w:val="005A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2344</Characters>
  <Application>Microsoft Office Word</Application>
  <DocSecurity>4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SB01572 (Committee Report (Substituted))</vt:lpstr>
    </vt:vector>
  </TitlesOfParts>
  <Company>State of Texas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34122</dc:subject>
  <dc:creator>State of Texas</dc:creator>
  <dc:description>SB 1572 by Alvarado-(H)Urban Affairs (Substitute Document Number: 86R 33861)</dc:description>
  <cp:lastModifiedBy>Stacey Nicchio</cp:lastModifiedBy>
  <cp:revision>2</cp:revision>
  <cp:lastPrinted>2003-11-26T17:21:00Z</cp:lastPrinted>
  <dcterms:created xsi:type="dcterms:W3CDTF">2019-05-15T22:18:00Z</dcterms:created>
  <dcterms:modified xsi:type="dcterms:W3CDTF">2019-05-15T22:18:00Z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19.135.716</vt:lpwstr>
  </property>
</Properties>
</file>