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12F81" w:rsidTr="00345119">
        <w:tc>
          <w:tcPr>
            <w:tcW w:w="9576" w:type="dxa"/>
            <w:noWrap/>
          </w:tcPr>
          <w:p w:rsidR="008423E4" w:rsidRPr="0022177D" w:rsidRDefault="000B368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B3683" w:rsidP="008423E4">
      <w:pPr>
        <w:jc w:val="center"/>
      </w:pPr>
    </w:p>
    <w:p w:rsidR="008423E4" w:rsidRPr="00B31F0E" w:rsidRDefault="000B3683" w:rsidP="008423E4"/>
    <w:p w:rsidR="008423E4" w:rsidRPr="00742794" w:rsidRDefault="000B368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12F81" w:rsidTr="00345119">
        <w:tc>
          <w:tcPr>
            <w:tcW w:w="9576" w:type="dxa"/>
          </w:tcPr>
          <w:p w:rsidR="008423E4" w:rsidRPr="00861995" w:rsidRDefault="000B3683" w:rsidP="00345119">
            <w:pPr>
              <w:jc w:val="right"/>
            </w:pPr>
            <w:r>
              <w:t>S.B. 1575</w:t>
            </w:r>
          </w:p>
        </w:tc>
      </w:tr>
      <w:tr w:rsidR="00D12F81" w:rsidTr="00345119">
        <w:tc>
          <w:tcPr>
            <w:tcW w:w="9576" w:type="dxa"/>
          </w:tcPr>
          <w:p w:rsidR="008423E4" w:rsidRPr="00861995" w:rsidRDefault="000B3683" w:rsidP="00124248">
            <w:pPr>
              <w:jc w:val="right"/>
            </w:pPr>
            <w:r>
              <w:t xml:space="preserve">By: </w:t>
            </w:r>
            <w:r>
              <w:t>Alvarado</w:t>
            </w:r>
          </w:p>
        </w:tc>
      </w:tr>
      <w:tr w:rsidR="00D12F81" w:rsidTr="00345119">
        <w:tc>
          <w:tcPr>
            <w:tcW w:w="9576" w:type="dxa"/>
          </w:tcPr>
          <w:p w:rsidR="008423E4" w:rsidRPr="00861995" w:rsidRDefault="000B3683" w:rsidP="00345119">
            <w:pPr>
              <w:jc w:val="right"/>
            </w:pPr>
            <w:r>
              <w:t>Judiciary &amp; Civil Jurisprudence</w:t>
            </w:r>
          </w:p>
        </w:tc>
      </w:tr>
      <w:tr w:rsidR="00D12F81" w:rsidTr="00345119">
        <w:tc>
          <w:tcPr>
            <w:tcW w:w="9576" w:type="dxa"/>
          </w:tcPr>
          <w:p w:rsidR="008423E4" w:rsidRDefault="000B368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B3683" w:rsidP="008423E4">
      <w:pPr>
        <w:tabs>
          <w:tab w:val="right" w:pos="9360"/>
        </w:tabs>
      </w:pPr>
    </w:p>
    <w:p w:rsidR="008423E4" w:rsidRDefault="000B3683" w:rsidP="008423E4"/>
    <w:p w:rsidR="008423E4" w:rsidRDefault="000B368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12F81" w:rsidTr="00345119">
        <w:tc>
          <w:tcPr>
            <w:tcW w:w="9576" w:type="dxa"/>
          </w:tcPr>
          <w:p w:rsidR="008423E4" w:rsidRPr="00A8133F" w:rsidRDefault="000B3683" w:rsidP="00940A4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B3683" w:rsidP="00940A4E"/>
          <w:p w:rsidR="008423E4" w:rsidRDefault="000B3683" w:rsidP="00940A4E">
            <w:pPr>
              <w:pStyle w:val="Header"/>
              <w:jc w:val="both"/>
            </w:pPr>
            <w:r>
              <w:t xml:space="preserve">It has been noted that </w:t>
            </w:r>
            <w:r>
              <w:t xml:space="preserve">municipalities </w:t>
            </w:r>
            <w:r>
              <w:t>often receive</w:t>
            </w:r>
            <w:r>
              <w:t xml:space="preserve"> federal relief funds to aid in recovery</w:t>
            </w:r>
            <w:r>
              <w:t xml:space="preserve"> </w:t>
            </w:r>
            <w:r>
              <w:t>efforts following</w:t>
            </w:r>
            <w:r>
              <w:t xml:space="preserve"> a disaster, typically in the form of a grant</w:t>
            </w:r>
            <w:r>
              <w:t xml:space="preserve">. </w:t>
            </w:r>
            <w:r>
              <w:t>There are concerns that</w:t>
            </w:r>
            <w:r>
              <w:t>,</w:t>
            </w:r>
            <w:r>
              <w:t xml:space="preserve"> w</w:t>
            </w:r>
            <w:r>
              <w:t>hile state and federal governmental entities have</w:t>
            </w:r>
            <w:r>
              <w:t xml:space="preserve"> certain</w:t>
            </w:r>
            <w:r>
              <w:t xml:space="preserve"> immunity from claims relating to the</w:t>
            </w:r>
            <w:r>
              <w:t xml:space="preserve"> </w:t>
            </w:r>
            <w:r>
              <w:t xml:space="preserve">administration of grants, </w:t>
            </w:r>
            <w:r>
              <w:t>municipalities</w:t>
            </w:r>
            <w:r>
              <w:t xml:space="preserve"> </w:t>
            </w:r>
            <w:r>
              <w:t>are not afforded such protections</w:t>
            </w:r>
            <w:r>
              <w:t xml:space="preserve">. </w:t>
            </w:r>
            <w:r>
              <w:t xml:space="preserve">It has been </w:t>
            </w:r>
            <w:r>
              <w:t xml:space="preserve">suggested </w:t>
            </w:r>
            <w:r>
              <w:t xml:space="preserve">that the administration of these grants </w:t>
            </w:r>
            <w:r>
              <w:t xml:space="preserve">presents </w:t>
            </w:r>
            <w:r>
              <w:t xml:space="preserve">a financial risk </w:t>
            </w:r>
            <w:r>
              <w:t>f</w:t>
            </w:r>
            <w:r>
              <w:t>o</w:t>
            </w:r>
            <w:r>
              <w:t>r</w:t>
            </w:r>
            <w:r>
              <w:t xml:space="preserve"> the</w:t>
            </w:r>
            <w:r>
              <w:t xml:space="preserve"> </w:t>
            </w:r>
            <w:r>
              <w:t>municipalities</w:t>
            </w:r>
            <w:r>
              <w:t>. S.B. 1575 seeks to address this issue by granting these municipalities immunity from liability for certain contracts following a disaster declaration</w:t>
            </w:r>
            <w:r>
              <w:t>.</w:t>
            </w:r>
          </w:p>
          <w:p w:rsidR="008423E4" w:rsidRPr="00E26B13" w:rsidRDefault="000B3683" w:rsidP="00940A4E">
            <w:pPr>
              <w:rPr>
                <w:b/>
              </w:rPr>
            </w:pPr>
          </w:p>
        </w:tc>
      </w:tr>
      <w:tr w:rsidR="00D12F81" w:rsidTr="00345119">
        <w:tc>
          <w:tcPr>
            <w:tcW w:w="9576" w:type="dxa"/>
          </w:tcPr>
          <w:p w:rsidR="0017725B" w:rsidRDefault="000B3683" w:rsidP="00940A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</w:t>
            </w:r>
            <w:r>
              <w:rPr>
                <w:b/>
                <w:u w:val="single"/>
              </w:rPr>
              <w:t>MINAL JUSTICE IMPACT</w:t>
            </w:r>
          </w:p>
          <w:p w:rsidR="0017725B" w:rsidRDefault="000B3683" w:rsidP="00940A4E">
            <w:pPr>
              <w:rPr>
                <w:b/>
                <w:u w:val="single"/>
              </w:rPr>
            </w:pPr>
          </w:p>
          <w:p w:rsidR="00995EAE" w:rsidRPr="00995EAE" w:rsidRDefault="000B3683" w:rsidP="00940A4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</w:t>
            </w:r>
            <w:r>
              <w:t>on, parole, or mandatory supervision.</w:t>
            </w:r>
          </w:p>
          <w:p w:rsidR="0017725B" w:rsidRPr="0017725B" w:rsidRDefault="000B3683" w:rsidP="00940A4E">
            <w:pPr>
              <w:rPr>
                <w:b/>
                <w:u w:val="single"/>
              </w:rPr>
            </w:pPr>
          </w:p>
        </w:tc>
      </w:tr>
      <w:tr w:rsidR="00D12F81" w:rsidTr="00345119">
        <w:tc>
          <w:tcPr>
            <w:tcW w:w="9576" w:type="dxa"/>
          </w:tcPr>
          <w:p w:rsidR="008423E4" w:rsidRPr="00A8133F" w:rsidRDefault="000B3683" w:rsidP="00940A4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B3683" w:rsidP="00940A4E"/>
          <w:p w:rsidR="00995EAE" w:rsidRDefault="000B3683" w:rsidP="00940A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B3683" w:rsidP="00940A4E">
            <w:pPr>
              <w:rPr>
                <w:b/>
              </w:rPr>
            </w:pPr>
          </w:p>
        </w:tc>
      </w:tr>
      <w:tr w:rsidR="00D12F81" w:rsidTr="00345119">
        <w:tc>
          <w:tcPr>
            <w:tcW w:w="9576" w:type="dxa"/>
          </w:tcPr>
          <w:p w:rsidR="008423E4" w:rsidRPr="00A8133F" w:rsidRDefault="000B3683" w:rsidP="00940A4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B3683" w:rsidP="00940A4E"/>
          <w:p w:rsidR="00F472F4" w:rsidRDefault="000B3683" w:rsidP="00940A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1575 amends the </w:t>
            </w:r>
            <w:r w:rsidRPr="00922F8C">
              <w:t>Civil Practice and Remedies Code</w:t>
            </w:r>
            <w:r>
              <w:t xml:space="preserve"> to </w:t>
            </w:r>
            <w:r>
              <w:t xml:space="preserve">grant </w:t>
            </w:r>
            <w:r>
              <w:t xml:space="preserve">governmental </w:t>
            </w:r>
            <w:r>
              <w:t>immunity</w:t>
            </w:r>
            <w:r>
              <w:t xml:space="preserve"> to suit and</w:t>
            </w:r>
            <w:r>
              <w:t xml:space="preserve"> liability </w:t>
            </w:r>
            <w:r>
              <w:t xml:space="preserve">for a cause of action </w:t>
            </w:r>
            <w:r>
              <w:t xml:space="preserve">arising from </w:t>
            </w:r>
            <w:r>
              <w:t xml:space="preserve">a municipality </w:t>
            </w:r>
            <w:r>
              <w:t>enter</w:t>
            </w:r>
            <w:r>
              <w:t>ing</w:t>
            </w:r>
            <w:r>
              <w:t xml:space="preserve"> into a </w:t>
            </w:r>
            <w:r w:rsidRPr="003A709B">
              <w:t xml:space="preserve">contract for a purpose related to disaster recovery </w:t>
            </w:r>
            <w:r>
              <w:t xml:space="preserve">after a </w:t>
            </w:r>
            <w:r>
              <w:t xml:space="preserve">gubernatorial disaster </w:t>
            </w:r>
            <w:r>
              <w:t xml:space="preserve">declaration </w:t>
            </w:r>
            <w:r w:rsidRPr="003A709B">
              <w:t>or tak</w:t>
            </w:r>
            <w:r>
              <w:t>ing</w:t>
            </w:r>
            <w:r w:rsidRPr="003A709B">
              <w:t xml:space="preserve"> an action under that contract</w:t>
            </w:r>
            <w:r>
              <w:t xml:space="preserve">. </w:t>
            </w:r>
          </w:p>
          <w:p w:rsidR="00F472F4" w:rsidRDefault="000B3683" w:rsidP="00940A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35466" w:rsidRDefault="000B3683" w:rsidP="00940A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1575 amends t</w:t>
            </w:r>
            <w:r>
              <w:t>he</w:t>
            </w:r>
            <w:r>
              <w:t xml:space="preserve"> Local Government Code to </w:t>
            </w:r>
            <w:r>
              <w:t>exempt from provisions</w:t>
            </w:r>
            <w:r>
              <w:t xml:space="preserve"> governing </w:t>
            </w:r>
            <w:r>
              <w:t xml:space="preserve">the </w:t>
            </w:r>
            <w:r>
              <w:t xml:space="preserve">adjudication of claims arising under written contracts with </w:t>
            </w:r>
            <w:r>
              <w:t xml:space="preserve">certain </w:t>
            </w:r>
            <w:r>
              <w:t xml:space="preserve">local governmental entities </w:t>
            </w:r>
            <w:r>
              <w:t xml:space="preserve">a contract </w:t>
            </w:r>
            <w:r w:rsidRPr="00995EAE">
              <w:t xml:space="preserve">with </w:t>
            </w:r>
            <w:r>
              <w:t>such a</w:t>
            </w:r>
            <w:r>
              <w:t xml:space="preserve">n </w:t>
            </w:r>
            <w:r w:rsidRPr="00995EAE">
              <w:t>entity</w:t>
            </w:r>
            <w:r>
              <w:t xml:space="preserve"> that arises from a </w:t>
            </w:r>
            <w:r>
              <w:t xml:space="preserve">gubernatorial disaster </w:t>
            </w:r>
            <w:r>
              <w:t xml:space="preserve">declaration and that </w:t>
            </w:r>
            <w:r w:rsidRPr="00995EAE">
              <w:t>primarily spends state or federal funds on goods and services that</w:t>
            </w:r>
            <w:r>
              <w:t>:</w:t>
            </w:r>
          </w:p>
          <w:p w:rsidR="00135466" w:rsidRDefault="000B3683" w:rsidP="00940A4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995EAE">
              <w:t>benefit private citizens or private property located in the entity in recovering from the disaster</w:t>
            </w:r>
            <w:r>
              <w:t xml:space="preserve">; and </w:t>
            </w:r>
          </w:p>
          <w:p w:rsidR="008423E4" w:rsidRDefault="000B3683" w:rsidP="00940A4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do not bene</w:t>
            </w:r>
            <w:r>
              <w:t xml:space="preserve">fit the entity. </w:t>
            </w:r>
          </w:p>
          <w:p w:rsidR="008423E4" w:rsidRPr="00835628" w:rsidRDefault="000B3683" w:rsidP="00940A4E">
            <w:pPr>
              <w:rPr>
                <w:b/>
              </w:rPr>
            </w:pPr>
          </w:p>
        </w:tc>
      </w:tr>
      <w:tr w:rsidR="00D12F81" w:rsidTr="00345119">
        <w:tc>
          <w:tcPr>
            <w:tcW w:w="9576" w:type="dxa"/>
          </w:tcPr>
          <w:p w:rsidR="008423E4" w:rsidRPr="00A8133F" w:rsidRDefault="000B3683" w:rsidP="00940A4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B3683" w:rsidP="00940A4E"/>
          <w:p w:rsidR="008423E4" w:rsidRPr="003624F2" w:rsidRDefault="000B3683" w:rsidP="00940A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0B3683" w:rsidP="00940A4E">
            <w:pPr>
              <w:rPr>
                <w:b/>
              </w:rPr>
            </w:pPr>
          </w:p>
        </w:tc>
      </w:tr>
    </w:tbl>
    <w:p w:rsidR="008423E4" w:rsidRPr="00BE0E75" w:rsidRDefault="000B368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B368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3683">
      <w:r>
        <w:separator/>
      </w:r>
    </w:p>
  </w:endnote>
  <w:endnote w:type="continuationSeparator" w:id="0">
    <w:p w:rsidR="00000000" w:rsidRDefault="000B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3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12F81" w:rsidTr="009C1E9A">
      <w:trPr>
        <w:cantSplit/>
      </w:trPr>
      <w:tc>
        <w:tcPr>
          <w:tcW w:w="0" w:type="pct"/>
        </w:tcPr>
        <w:p w:rsidR="00137D90" w:rsidRDefault="000B368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B368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B368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B368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B36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12F81" w:rsidTr="009C1E9A">
      <w:trPr>
        <w:cantSplit/>
      </w:trPr>
      <w:tc>
        <w:tcPr>
          <w:tcW w:w="0" w:type="pct"/>
        </w:tcPr>
        <w:p w:rsidR="00EC379B" w:rsidRDefault="000B368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B368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31342</w:t>
          </w:r>
        </w:p>
      </w:tc>
      <w:tc>
        <w:tcPr>
          <w:tcW w:w="2453" w:type="pct"/>
        </w:tcPr>
        <w:p w:rsidR="00EC379B" w:rsidRDefault="000B36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19.122.417</w:t>
          </w:r>
          <w:r>
            <w:fldChar w:fldCharType="end"/>
          </w:r>
        </w:p>
      </w:tc>
    </w:tr>
    <w:tr w:rsidR="00D12F81" w:rsidTr="009C1E9A">
      <w:trPr>
        <w:cantSplit/>
      </w:trPr>
      <w:tc>
        <w:tcPr>
          <w:tcW w:w="0" w:type="pct"/>
        </w:tcPr>
        <w:p w:rsidR="00EC379B" w:rsidRDefault="000B368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B368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B3683" w:rsidP="006D504F">
          <w:pPr>
            <w:pStyle w:val="Footer"/>
            <w:rPr>
              <w:rStyle w:val="PageNumber"/>
            </w:rPr>
          </w:pPr>
        </w:p>
        <w:p w:rsidR="00EC379B" w:rsidRDefault="000B36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12F8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B368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B368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B368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3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3683">
      <w:r>
        <w:separator/>
      </w:r>
    </w:p>
  </w:footnote>
  <w:footnote w:type="continuationSeparator" w:id="0">
    <w:p w:rsidR="00000000" w:rsidRDefault="000B3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3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36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3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1B82"/>
    <w:multiLevelType w:val="hybridMultilevel"/>
    <w:tmpl w:val="0D8870D0"/>
    <w:lvl w:ilvl="0" w:tplc="D5EEB4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C239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865B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A1D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0A7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06C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BA6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A2C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443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81"/>
    <w:rsid w:val="000B3683"/>
    <w:rsid w:val="00D1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8E7B73-A989-4964-9F7E-CD83E3A6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95E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5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5E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5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5E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35466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135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1791</Characters>
  <Application>Microsoft Office Word</Application>
  <DocSecurity>4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SB01575 (Committee Report (Unamended))</vt:lpstr>
    </vt:vector>
  </TitlesOfParts>
  <Company>State of Texas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31342</dc:subject>
  <dc:creator>State of Texas</dc:creator>
  <dc:description>SB 1575 by Alvarado-(H)Judiciary &amp; Civil Jurisprudence</dc:description>
  <cp:lastModifiedBy>Scotty Wimberley</cp:lastModifiedBy>
  <cp:revision>2</cp:revision>
  <cp:lastPrinted>2003-11-26T17:21:00Z</cp:lastPrinted>
  <dcterms:created xsi:type="dcterms:W3CDTF">2019-05-07T19:59:00Z</dcterms:created>
  <dcterms:modified xsi:type="dcterms:W3CDTF">2019-05-07T19:59:00Z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19.122.417</vt:lpwstr>
  </property>
</Properties>
</file>