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7AAE" w:rsidTr="00345119">
        <w:tc>
          <w:tcPr>
            <w:tcW w:w="9576" w:type="dxa"/>
            <w:noWrap/>
          </w:tcPr>
          <w:p w:rsidR="008423E4" w:rsidRPr="0022177D" w:rsidRDefault="00D108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0877" w:rsidP="008423E4">
      <w:pPr>
        <w:jc w:val="center"/>
      </w:pPr>
    </w:p>
    <w:p w:rsidR="008423E4" w:rsidRPr="00B31F0E" w:rsidRDefault="00D10877" w:rsidP="008423E4"/>
    <w:p w:rsidR="008423E4" w:rsidRPr="00742794" w:rsidRDefault="00D108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7AAE" w:rsidTr="00345119">
        <w:tc>
          <w:tcPr>
            <w:tcW w:w="9576" w:type="dxa"/>
          </w:tcPr>
          <w:p w:rsidR="008423E4" w:rsidRPr="00861995" w:rsidRDefault="00D10877" w:rsidP="00345119">
            <w:pPr>
              <w:jc w:val="right"/>
            </w:pPr>
            <w:r>
              <w:t>S.B. 1636</w:t>
            </w:r>
          </w:p>
        </w:tc>
      </w:tr>
      <w:tr w:rsidR="00C67AAE" w:rsidTr="00345119">
        <w:tc>
          <w:tcPr>
            <w:tcW w:w="9576" w:type="dxa"/>
          </w:tcPr>
          <w:p w:rsidR="008423E4" w:rsidRPr="00861995" w:rsidRDefault="00D10877" w:rsidP="00992830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C67AAE" w:rsidTr="00345119">
        <w:tc>
          <w:tcPr>
            <w:tcW w:w="9576" w:type="dxa"/>
          </w:tcPr>
          <w:p w:rsidR="008423E4" w:rsidRPr="00861995" w:rsidRDefault="00D10877" w:rsidP="00345119">
            <w:pPr>
              <w:jc w:val="right"/>
            </w:pPr>
            <w:r>
              <w:t>Public Health</w:t>
            </w:r>
          </w:p>
        </w:tc>
      </w:tr>
      <w:tr w:rsidR="00C67AAE" w:rsidTr="00345119">
        <w:tc>
          <w:tcPr>
            <w:tcW w:w="9576" w:type="dxa"/>
          </w:tcPr>
          <w:p w:rsidR="008423E4" w:rsidRDefault="00D108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0877" w:rsidP="008423E4">
      <w:pPr>
        <w:tabs>
          <w:tab w:val="right" w:pos="9360"/>
        </w:tabs>
      </w:pPr>
    </w:p>
    <w:p w:rsidR="008423E4" w:rsidRDefault="00D10877" w:rsidP="008423E4"/>
    <w:p w:rsidR="008423E4" w:rsidRDefault="00D108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7AAE" w:rsidTr="00345119">
        <w:tc>
          <w:tcPr>
            <w:tcW w:w="9576" w:type="dxa"/>
          </w:tcPr>
          <w:p w:rsidR="008423E4" w:rsidRPr="00A8133F" w:rsidRDefault="00D10877" w:rsidP="00E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E16850" w:rsidRDefault="00D10877" w:rsidP="00E16850">
            <w:pPr>
              <w:rPr>
                <w:sz w:val="22"/>
              </w:rPr>
            </w:pPr>
          </w:p>
          <w:p w:rsidR="008423E4" w:rsidRDefault="00D10877" w:rsidP="00E16850">
            <w:pPr>
              <w:pStyle w:val="Header"/>
              <w:jc w:val="both"/>
            </w:pPr>
            <w:r>
              <w:t xml:space="preserve">It has been suggested that </w:t>
            </w:r>
            <w:r>
              <w:t>a majority</w:t>
            </w:r>
            <w:r>
              <w:t xml:space="preserve"> </w:t>
            </w:r>
            <w:r>
              <w:t xml:space="preserve">of Texas </w:t>
            </w:r>
            <w:r>
              <w:t xml:space="preserve">counties are </w:t>
            </w:r>
            <w:r>
              <w:t>experiencing</w:t>
            </w:r>
            <w:r>
              <w:t xml:space="preserve"> a mental health workforce shortage</w:t>
            </w:r>
            <w:r>
              <w:t xml:space="preserve"> and that </w:t>
            </w:r>
            <w:r>
              <w:t xml:space="preserve">low rates of </w:t>
            </w:r>
            <w:r>
              <w:t>reimbursement, few internship and residency slots, and finite opportunities to access peer support services</w:t>
            </w:r>
            <w:r>
              <w:t xml:space="preserve"> are some of the hurdles to increas</w:t>
            </w:r>
            <w:r>
              <w:t>ing</w:t>
            </w:r>
            <w:r>
              <w:t xml:space="preserve"> the number of mental health professionals in Texas</w:t>
            </w:r>
            <w:r>
              <w:t>. S</w:t>
            </w:r>
            <w:r>
              <w:t>.</w:t>
            </w:r>
            <w:r>
              <w:t>B</w:t>
            </w:r>
            <w:r>
              <w:t>.</w:t>
            </w:r>
            <w:r>
              <w:t xml:space="preserve"> 1636 seeks to address </w:t>
            </w:r>
            <w:r>
              <w:t xml:space="preserve">the state's shortage of health </w:t>
            </w:r>
            <w:r>
              <w:t xml:space="preserve">care workforce </w:t>
            </w:r>
            <w:r>
              <w:t>by</w:t>
            </w:r>
            <w:r>
              <w:t xml:space="preserve"> </w:t>
            </w:r>
            <w:r>
              <w:t>including</w:t>
            </w:r>
            <w:r w:rsidRPr="005B18E4">
              <w:t xml:space="preserve"> strategies to expand the health care workforce in Texas in the annual </w:t>
            </w:r>
            <w:r w:rsidRPr="005B18E4">
              <w:t>report prepared</w:t>
            </w:r>
            <w:r w:rsidRPr="005B18E4">
              <w:t xml:space="preserve"> by</w:t>
            </w:r>
            <w:r>
              <w:t xml:space="preserve"> the Health Professions Council</w:t>
            </w:r>
            <w:r>
              <w:t xml:space="preserve">.     </w:t>
            </w:r>
          </w:p>
          <w:p w:rsidR="008423E4" w:rsidRPr="00E16850" w:rsidRDefault="00D10877" w:rsidP="00E16850">
            <w:pPr>
              <w:rPr>
                <w:b/>
                <w:sz w:val="22"/>
              </w:rPr>
            </w:pPr>
          </w:p>
        </w:tc>
      </w:tr>
      <w:tr w:rsidR="00C67AAE" w:rsidTr="00345119">
        <w:tc>
          <w:tcPr>
            <w:tcW w:w="9576" w:type="dxa"/>
          </w:tcPr>
          <w:p w:rsidR="0017725B" w:rsidRDefault="00D10877" w:rsidP="00E168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E16850" w:rsidRDefault="00D10877" w:rsidP="00E16850">
            <w:pPr>
              <w:rPr>
                <w:b/>
                <w:sz w:val="22"/>
                <w:u w:val="single"/>
              </w:rPr>
            </w:pPr>
          </w:p>
          <w:p w:rsidR="00312FB9" w:rsidRPr="00312FB9" w:rsidRDefault="00D10877" w:rsidP="00E16850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E16850" w:rsidRDefault="00D10877" w:rsidP="00E16850">
            <w:pPr>
              <w:rPr>
                <w:b/>
                <w:sz w:val="22"/>
                <w:u w:val="single"/>
              </w:rPr>
            </w:pPr>
          </w:p>
        </w:tc>
      </w:tr>
      <w:tr w:rsidR="00C67AAE" w:rsidTr="00345119">
        <w:tc>
          <w:tcPr>
            <w:tcW w:w="9576" w:type="dxa"/>
          </w:tcPr>
          <w:p w:rsidR="008423E4" w:rsidRPr="00A8133F" w:rsidRDefault="00D10877" w:rsidP="00E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16850" w:rsidRDefault="00D10877" w:rsidP="00E16850">
            <w:pPr>
              <w:rPr>
                <w:sz w:val="22"/>
              </w:rPr>
            </w:pPr>
          </w:p>
          <w:p w:rsidR="00312FB9" w:rsidRDefault="00D10877" w:rsidP="00E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16850" w:rsidRDefault="00D10877" w:rsidP="00E16850">
            <w:pPr>
              <w:rPr>
                <w:b/>
                <w:sz w:val="22"/>
              </w:rPr>
            </w:pPr>
          </w:p>
        </w:tc>
      </w:tr>
      <w:tr w:rsidR="00C67AAE" w:rsidTr="00345119">
        <w:tc>
          <w:tcPr>
            <w:tcW w:w="9576" w:type="dxa"/>
          </w:tcPr>
          <w:p w:rsidR="008423E4" w:rsidRPr="00A8133F" w:rsidRDefault="00D10877" w:rsidP="00E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16850" w:rsidRDefault="00D10877" w:rsidP="00E16850">
            <w:pPr>
              <w:rPr>
                <w:sz w:val="22"/>
              </w:rPr>
            </w:pPr>
          </w:p>
          <w:p w:rsidR="00B17321" w:rsidRDefault="00D10877" w:rsidP="00E16850">
            <w:pPr>
              <w:pStyle w:val="Header"/>
              <w:jc w:val="both"/>
            </w:pPr>
            <w:r>
              <w:t>S.B. 1636</w:t>
            </w:r>
            <w:r>
              <w:t xml:space="preserve"> amends the Occupations Code to include </w:t>
            </w:r>
            <w:r>
              <w:t>in the annual report prepared by the Health Professions Counci</w:t>
            </w:r>
            <w:r>
              <w:t xml:space="preserve">l </w:t>
            </w:r>
            <w:r>
              <w:t>strategies to expand the health care workforce in Texas</w:t>
            </w:r>
            <w:r>
              <w:t>, including:</w:t>
            </w:r>
          </w:p>
          <w:p w:rsidR="00B17321" w:rsidRDefault="00D10877" w:rsidP="00E1685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B17321">
              <w:t>methods for reducing the time required to process license applications for health care professions;</w:t>
            </w:r>
          </w:p>
          <w:p w:rsidR="00B17321" w:rsidRDefault="00D10877" w:rsidP="00E1685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B17321">
              <w:t>methods for increasing the number of health care practitioners providing mental and be</w:t>
            </w:r>
            <w:r w:rsidRPr="00B17321">
              <w:t>havioral health care services; and</w:t>
            </w:r>
          </w:p>
          <w:p w:rsidR="00B17321" w:rsidRDefault="00D10877" w:rsidP="00E1685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</w:t>
            </w:r>
            <w:r w:rsidRPr="00B17321">
              <w:t>ny statutory and legislative appropriation recommendations the council determines are appropriate for expanding the health care workforce in this state, including recommendations for expanding the health care workforce i</w:t>
            </w:r>
            <w:r w:rsidRPr="00B17321">
              <w:t>n medically underserved areas</w:t>
            </w:r>
            <w:r>
              <w:t>.</w:t>
            </w:r>
          </w:p>
          <w:p w:rsidR="008423E4" w:rsidRDefault="00D10877" w:rsidP="00E16850">
            <w:pPr>
              <w:pStyle w:val="Header"/>
              <w:spacing w:before="120" w:after="120"/>
              <w:jc w:val="both"/>
            </w:pPr>
            <w:r>
              <w:t xml:space="preserve">The bill </w:t>
            </w:r>
            <w:r>
              <w:t xml:space="preserve">adds as </w:t>
            </w:r>
            <w:r>
              <w:t xml:space="preserve">recipients of the </w:t>
            </w:r>
            <w:r>
              <w:t xml:space="preserve">annual </w:t>
            </w:r>
            <w:r>
              <w:t xml:space="preserve">report </w:t>
            </w:r>
            <w:r w:rsidRPr="00C27A7B">
              <w:t>the chairs of the standing committees of the senate and the house of representatives having primary jurisdiction over public health and the chairs of the standing committees of</w:t>
            </w:r>
            <w:r w:rsidRPr="00C27A7B">
              <w:t xml:space="preserve"> the senate and the house of representatives having primary jurisdiction over state finance or appropriations</w:t>
            </w:r>
            <w:r>
              <w:t xml:space="preserve">. </w:t>
            </w:r>
            <w:r>
              <w:t xml:space="preserve">The council is not required to include the strategies in </w:t>
            </w:r>
            <w:r>
              <w:t>its</w:t>
            </w:r>
            <w:r>
              <w:t xml:space="preserve"> annual report until February 1, 2021, but is required</w:t>
            </w:r>
            <w:r>
              <w:t xml:space="preserve"> to submit a report</w:t>
            </w:r>
            <w:r>
              <w:t xml:space="preserve"> not later t</w:t>
            </w:r>
            <w:r>
              <w:t>han June 1, 2020,</w:t>
            </w:r>
            <w:r>
              <w:t xml:space="preserve"> </w:t>
            </w:r>
            <w:r>
              <w:t xml:space="preserve">that </w:t>
            </w:r>
            <w:r>
              <w:t xml:space="preserve">includes </w:t>
            </w:r>
            <w:r>
              <w:t xml:space="preserve">only </w:t>
            </w:r>
            <w:r>
              <w:t>th</w:t>
            </w:r>
            <w:r>
              <w:t>os</w:t>
            </w:r>
            <w:r>
              <w:t>e strategies</w:t>
            </w:r>
            <w:r>
              <w:t xml:space="preserve"> </w:t>
            </w:r>
            <w:r>
              <w:t xml:space="preserve">to the </w:t>
            </w:r>
            <w:r w:rsidRPr="005C73DC">
              <w:t xml:space="preserve">governor, the lieutenant governor, the speaker of the house of representatives, </w:t>
            </w:r>
            <w:r>
              <w:t xml:space="preserve">and the applicable committee </w:t>
            </w:r>
            <w:r w:rsidRPr="005C73DC">
              <w:t>chairs</w:t>
            </w:r>
            <w:r>
              <w:t xml:space="preserve">. </w:t>
            </w:r>
          </w:p>
          <w:p w:rsidR="008423E4" w:rsidRPr="00E16850" w:rsidRDefault="00D10877" w:rsidP="00E16850">
            <w:pPr>
              <w:rPr>
                <w:b/>
                <w:sz w:val="22"/>
              </w:rPr>
            </w:pPr>
          </w:p>
        </w:tc>
      </w:tr>
      <w:tr w:rsidR="00C67AAE" w:rsidTr="00345119">
        <w:tc>
          <w:tcPr>
            <w:tcW w:w="9576" w:type="dxa"/>
          </w:tcPr>
          <w:p w:rsidR="008423E4" w:rsidRPr="00A8133F" w:rsidRDefault="00D10877" w:rsidP="00E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E16850" w:rsidRDefault="00D10877" w:rsidP="00E16850">
            <w:pPr>
              <w:rPr>
                <w:sz w:val="22"/>
              </w:rPr>
            </w:pPr>
          </w:p>
          <w:p w:rsidR="008423E4" w:rsidRPr="003624F2" w:rsidRDefault="00D10877" w:rsidP="00E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</w:t>
            </w:r>
            <w:r>
              <w:t xml:space="preserve"> vote, September 1, 2019.</w:t>
            </w:r>
          </w:p>
          <w:p w:rsidR="008423E4" w:rsidRPr="00233FDB" w:rsidRDefault="00D10877" w:rsidP="00E16850">
            <w:pPr>
              <w:rPr>
                <w:b/>
              </w:rPr>
            </w:pPr>
          </w:p>
        </w:tc>
      </w:tr>
    </w:tbl>
    <w:p w:rsidR="008423E4" w:rsidRPr="00E16850" w:rsidRDefault="00D10877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E16850" w:rsidRDefault="00D10877" w:rsidP="008423E4">
      <w:pPr>
        <w:rPr>
          <w:sz w:val="2"/>
          <w:szCs w:val="2"/>
        </w:rPr>
      </w:pPr>
    </w:p>
    <w:sectPr w:rsidR="004108C3" w:rsidRPr="00E1685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877">
      <w:r>
        <w:separator/>
      </w:r>
    </w:p>
  </w:endnote>
  <w:endnote w:type="continuationSeparator" w:id="0">
    <w:p w:rsidR="00000000" w:rsidRDefault="00D1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7AAE" w:rsidTr="009C1E9A">
      <w:trPr>
        <w:cantSplit/>
      </w:trPr>
      <w:tc>
        <w:tcPr>
          <w:tcW w:w="0" w:type="pct"/>
        </w:tcPr>
        <w:p w:rsidR="00137D90" w:rsidRDefault="00D108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08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08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08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08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7AAE" w:rsidTr="009C1E9A">
      <w:trPr>
        <w:cantSplit/>
      </w:trPr>
      <w:tc>
        <w:tcPr>
          <w:tcW w:w="0" w:type="pct"/>
        </w:tcPr>
        <w:p w:rsidR="00EC379B" w:rsidRDefault="00D108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08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30437</w:t>
          </w:r>
        </w:p>
      </w:tc>
      <w:tc>
        <w:tcPr>
          <w:tcW w:w="2453" w:type="pct"/>
        </w:tcPr>
        <w:p w:rsidR="00EC379B" w:rsidRDefault="00D108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19.119.100</w:t>
          </w:r>
          <w:r>
            <w:fldChar w:fldCharType="end"/>
          </w:r>
        </w:p>
      </w:tc>
    </w:tr>
    <w:tr w:rsidR="00C67AAE" w:rsidTr="009C1E9A">
      <w:trPr>
        <w:cantSplit/>
      </w:trPr>
      <w:tc>
        <w:tcPr>
          <w:tcW w:w="0" w:type="pct"/>
        </w:tcPr>
        <w:p w:rsidR="00EC379B" w:rsidRDefault="00D108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08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0877" w:rsidP="006D504F">
          <w:pPr>
            <w:pStyle w:val="Footer"/>
            <w:rPr>
              <w:rStyle w:val="PageNumber"/>
            </w:rPr>
          </w:pPr>
        </w:p>
        <w:p w:rsidR="00EC379B" w:rsidRDefault="00D108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7A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08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08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08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877">
      <w:r>
        <w:separator/>
      </w:r>
    </w:p>
  </w:footnote>
  <w:footnote w:type="continuationSeparator" w:id="0">
    <w:p w:rsidR="00000000" w:rsidRDefault="00D1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FAA"/>
    <w:multiLevelType w:val="hybridMultilevel"/>
    <w:tmpl w:val="D36EE178"/>
    <w:lvl w:ilvl="0" w:tplc="3606ED8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A6EBF98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BBFA17AA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72288E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67E707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9EED590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9DB221BE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DF1CE344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FB05C7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AE"/>
    <w:rsid w:val="00C67AAE"/>
    <w:rsid w:val="00D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B75172-6E9F-4482-812F-DDB0264C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17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1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7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7C7"/>
    <w:rPr>
      <w:b/>
      <w:bCs/>
    </w:rPr>
  </w:style>
  <w:style w:type="paragraph" w:styleId="Revision">
    <w:name w:val="Revision"/>
    <w:hidden/>
    <w:uiPriority w:val="99"/>
    <w:semiHidden/>
    <w:rsid w:val="00B17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2160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SB01636 (Committee Report (Unamended))</vt:lpstr>
    </vt:vector>
  </TitlesOfParts>
  <Company>State of Texas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30437</dc:subject>
  <dc:creator>State of Texas</dc:creator>
  <dc:description>SB 1636 by Zaffirini-(H)Public Health</dc:description>
  <cp:lastModifiedBy>Scotty Wimberley</cp:lastModifiedBy>
  <cp:revision>2</cp:revision>
  <cp:lastPrinted>2003-11-26T17:21:00Z</cp:lastPrinted>
  <dcterms:created xsi:type="dcterms:W3CDTF">2019-05-10T20:38:00Z</dcterms:created>
  <dcterms:modified xsi:type="dcterms:W3CDTF">2019-05-10T20:38:00Z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19.119.100</vt:lpwstr>
  </property>
</Properties>
</file>