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071D5" w:rsidTr="00345119">
        <w:tc>
          <w:tcPr>
            <w:tcW w:w="9576" w:type="dxa"/>
            <w:noWrap/>
          </w:tcPr>
          <w:p w:rsidR="008423E4" w:rsidRPr="0022177D" w:rsidRDefault="005B5998" w:rsidP="00345119">
            <w:pPr>
              <w:pStyle w:val="Heading1"/>
            </w:pPr>
            <w:bookmarkStart w:id="0" w:name="_GoBack"/>
            <w:bookmarkEnd w:id="0"/>
            <w:r w:rsidRPr="00631897">
              <w:t>BILL ANALYSIS</w:t>
            </w:r>
          </w:p>
        </w:tc>
      </w:tr>
    </w:tbl>
    <w:p w:rsidR="008423E4" w:rsidRPr="0022177D" w:rsidRDefault="005B5998" w:rsidP="008423E4">
      <w:pPr>
        <w:jc w:val="center"/>
      </w:pPr>
    </w:p>
    <w:p w:rsidR="008423E4" w:rsidRPr="00B31F0E" w:rsidRDefault="005B5998" w:rsidP="008423E4"/>
    <w:p w:rsidR="008423E4" w:rsidRPr="00742794" w:rsidRDefault="005B5998" w:rsidP="008423E4">
      <w:pPr>
        <w:tabs>
          <w:tab w:val="right" w:pos="9360"/>
        </w:tabs>
      </w:pPr>
    </w:p>
    <w:tbl>
      <w:tblPr>
        <w:tblW w:w="0" w:type="auto"/>
        <w:tblLayout w:type="fixed"/>
        <w:tblLook w:val="01E0" w:firstRow="1" w:lastRow="1" w:firstColumn="1" w:lastColumn="1" w:noHBand="0" w:noVBand="0"/>
      </w:tblPr>
      <w:tblGrid>
        <w:gridCol w:w="9576"/>
      </w:tblGrid>
      <w:tr w:rsidR="002071D5" w:rsidTr="00345119">
        <w:tc>
          <w:tcPr>
            <w:tcW w:w="9576" w:type="dxa"/>
          </w:tcPr>
          <w:p w:rsidR="008423E4" w:rsidRPr="00861995" w:rsidRDefault="005B5998" w:rsidP="00345119">
            <w:pPr>
              <w:jc w:val="right"/>
            </w:pPr>
            <w:r>
              <w:t>S.B. 1672</w:t>
            </w:r>
          </w:p>
        </w:tc>
      </w:tr>
      <w:tr w:rsidR="002071D5" w:rsidTr="00345119">
        <w:tc>
          <w:tcPr>
            <w:tcW w:w="9576" w:type="dxa"/>
          </w:tcPr>
          <w:p w:rsidR="008423E4" w:rsidRPr="00861995" w:rsidRDefault="005B5998" w:rsidP="00345119">
            <w:pPr>
              <w:jc w:val="right"/>
            </w:pPr>
            <w:r>
              <w:t>By: Perry</w:t>
            </w:r>
          </w:p>
        </w:tc>
      </w:tr>
      <w:tr w:rsidR="002071D5" w:rsidTr="00345119">
        <w:tc>
          <w:tcPr>
            <w:tcW w:w="9576" w:type="dxa"/>
          </w:tcPr>
          <w:p w:rsidR="008423E4" w:rsidRPr="00861995" w:rsidRDefault="005B5998" w:rsidP="00345119">
            <w:pPr>
              <w:jc w:val="right"/>
            </w:pPr>
            <w:r>
              <w:t>Agriculture &amp; Livestock</w:t>
            </w:r>
          </w:p>
        </w:tc>
      </w:tr>
      <w:tr w:rsidR="002071D5" w:rsidTr="00345119">
        <w:tc>
          <w:tcPr>
            <w:tcW w:w="9576" w:type="dxa"/>
          </w:tcPr>
          <w:p w:rsidR="008423E4" w:rsidRDefault="005B5998" w:rsidP="00345119">
            <w:pPr>
              <w:jc w:val="right"/>
            </w:pPr>
            <w:r>
              <w:t>Committee Report (Unamended)</w:t>
            </w:r>
          </w:p>
        </w:tc>
      </w:tr>
    </w:tbl>
    <w:p w:rsidR="008423E4" w:rsidRDefault="005B5998" w:rsidP="008423E4">
      <w:pPr>
        <w:tabs>
          <w:tab w:val="right" w:pos="9360"/>
        </w:tabs>
      </w:pPr>
    </w:p>
    <w:p w:rsidR="008423E4" w:rsidRDefault="005B5998" w:rsidP="008423E4"/>
    <w:p w:rsidR="008423E4" w:rsidRDefault="005B5998" w:rsidP="008423E4"/>
    <w:tbl>
      <w:tblPr>
        <w:tblW w:w="0" w:type="auto"/>
        <w:tblCellMar>
          <w:left w:w="115" w:type="dxa"/>
          <w:right w:w="115" w:type="dxa"/>
        </w:tblCellMar>
        <w:tblLook w:val="01E0" w:firstRow="1" w:lastRow="1" w:firstColumn="1" w:lastColumn="1" w:noHBand="0" w:noVBand="0"/>
      </w:tblPr>
      <w:tblGrid>
        <w:gridCol w:w="9360"/>
      </w:tblGrid>
      <w:tr w:rsidR="002071D5" w:rsidTr="00345119">
        <w:tc>
          <w:tcPr>
            <w:tcW w:w="9576" w:type="dxa"/>
          </w:tcPr>
          <w:p w:rsidR="008423E4" w:rsidRPr="00A8133F" w:rsidRDefault="005B5998" w:rsidP="00E01BA3">
            <w:pPr>
              <w:rPr>
                <w:b/>
              </w:rPr>
            </w:pPr>
            <w:r w:rsidRPr="009C1E9A">
              <w:rPr>
                <w:b/>
                <w:u w:val="single"/>
              </w:rPr>
              <w:t>BACKGROUND AND PURPOSE</w:t>
            </w:r>
            <w:r>
              <w:rPr>
                <w:b/>
              </w:rPr>
              <w:t xml:space="preserve"> </w:t>
            </w:r>
          </w:p>
          <w:p w:rsidR="008423E4" w:rsidRDefault="005B5998" w:rsidP="00E01BA3"/>
          <w:p w:rsidR="008423E4" w:rsidRDefault="005B5998" w:rsidP="00E01BA3">
            <w:pPr>
              <w:pStyle w:val="Header"/>
              <w:tabs>
                <w:tab w:val="clear" w:pos="4320"/>
                <w:tab w:val="clear" w:pos="8640"/>
              </w:tabs>
              <w:jc w:val="both"/>
            </w:pPr>
            <w:r>
              <w:t xml:space="preserve">It has been noted that the agriculture industry has been aggressively combating invasive </w:t>
            </w:r>
            <w:r>
              <w:t xml:space="preserve">pests </w:t>
            </w:r>
            <w:r>
              <w:t xml:space="preserve">that hinder agricultural productivity but that this effort comes at a significant cost to agricultural producers. It has been suggested that from a statewide perspective early detection of invasive </w:t>
            </w:r>
            <w:r>
              <w:t>pests</w:t>
            </w:r>
            <w:r>
              <w:t xml:space="preserve"> is important as </w:t>
            </w:r>
            <w:r>
              <w:t>it</w:t>
            </w:r>
            <w:r>
              <w:t xml:space="preserve"> allows for better containment of </w:t>
            </w:r>
            <w:r>
              <w:t>a</w:t>
            </w:r>
            <w:r>
              <w:t xml:space="preserve"> pest</w:t>
            </w:r>
            <w:r>
              <w:t xml:space="preserve"> and</w:t>
            </w:r>
            <w:r>
              <w:t xml:space="preserve"> for</w:t>
            </w:r>
            <w:r>
              <w:t xml:space="preserve"> the development of</w:t>
            </w:r>
            <w:r>
              <w:t xml:space="preserve"> resistant seed varieties and better management practices.</w:t>
            </w:r>
            <w:r>
              <w:t xml:space="preserve"> S.B. 1672 seeks to address this issue by providing for certain cooperative agreements between the </w:t>
            </w:r>
            <w:r w:rsidRPr="00294E68">
              <w:t>Department of Agriculture</w:t>
            </w:r>
            <w:r>
              <w:t xml:space="preserve"> and an </w:t>
            </w:r>
            <w:r w:rsidRPr="00294E68">
              <w:t>institution of higher education</w:t>
            </w:r>
            <w:r>
              <w:t xml:space="preserve"> f</w:t>
            </w:r>
            <w:r>
              <w:t xml:space="preserve">or </w:t>
            </w:r>
            <w:r w:rsidRPr="008972DC">
              <w:t>early plant pest detection and surveillance</w:t>
            </w:r>
            <w:r>
              <w:t>.</w:t>
            </w:r>
          </w:p>
          <w:p w:rsidR="008423E4" w:rsidRPr="00E26B13" w:rsidRDefault="005B5998" w:rsidP="00E01BA3">
            <w:pPr>
              <w:rPr>
                <w:b/>
              </w:rPr>
            </w:pPr>
          </w:p>
        </w:tc>
      </w:tr>
      <w:tr w:rsidR="002071D5" w:rsidTr="00345119">
        <w:tc>
          <w:tcPr>
            <w:tcW w:w="9576" w:type="dxa"/>
          </w:tcPr>
          <w:p w:rsidR="0017725B" w:rsidRDefault="005B5998" w:rsidP="00E01BA3">
            <w:pPr>
              <w:rPr>
                <w:b/>
                <w:u w:val="single"/>
              </w:rPr>
            </w:pPr>
            <w:r>
              <w:rPr>
                <w:b/>
                <w:u w:val="single"/>
              </w:rPr>
              <w:t>CRIMINAL JUSTICE IMPACT</w:t>
            </w:r>
          </w:p>
          <w:p w:rsidR="0017725B" w:rsidRDefault="005B5998" w:rsidP="00E01BA3">
            <w:pPr>
              <w:rPr>
                <w:b/>
                <w:u w:val="single"/>
              </w:rPr>
            </w:pPr>
          </w:p>
          <w:p w:rsidR="002E6071" w:rsidRPr="002E6071" w:rsidRDefault="005B5998" w:rsidP="00E01BA3">
            <w:pPr>
              <w:jc w:val="both"/>
            </w:pPr>
            <w:r>
              <w:t>It is the committee's opinion that this bill does not expressly create a criminal offense, increase the punishment for an existing criminal offense or category of offenses, or chang</w:t>
            </w:r>
            <w:r>
              <w:t>e the eligibility of a person for community supervision, parole, or mandatory supervision.</w:t>
            </w:r>
          </w:p>
          <w:p w:rsidR="0017725B" w:rsidRPr="0017725B" w:rsidRDefault="005B5998" w:rsidP="00E01BA3">
            <w:pPr>
              <w:rPr>
                <w:b/>
                <w:u w:val="single"/>
              </w:rPr>
            </w:pPr>
          </w:p>
        </w:tc>
      </w:tr>
      <w:tr w:rsidR="002071D5" w:rsidTr="00345119">
        <w:tc>
          <w:tcPr>
            <w:tcW w:w="9576" w:type="dxa"/>
          </w:tcPr>
          <w:p w:rsidR="008423E4" w:rsidRPr="00A8133F" w:rsidRDefault="005B5998" w:rsidP="00E01BA3">
            <w:pPr>
              <w:rPr>
                <w:b/>
              </w:rPr>
            </w:pPr>
            <w:r w:rsidRPr="009C1E9A">
              <w:rPr>
                <w:b/>
                <w:u w:val="single"/>
              </w:rPr>
              <w:t>RULEMAKING AUTHORITY</w:t>
            </w:r>
            <w:r>
              <w:rPr>
                <w:b/>
              </w:rPr>
              <w:t xml:space="preserve"> </w:t>
            </w:r>
          </w:p>
          <w:p w:rsidR="008423E4" w:rsidRDefault="005B5998" w:rsidP="00E01BA3"/>
          <w:p w:rsidR="002E6071" w:rsidRDefault="005B5998" w:rsidP="00E01BA3">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rsidR="008423E4" w:rsidRPr="00E21FDC" w:rsidRDefault="005B5998" w:rsidP="00E01BA3">
            <w:pPr>
              <w:rPr>
                <w:b/>
              </w:rPr>
            </w:pPr>
          </w:p>
        </w:tc>
      </w:tr>
      <w:tr w:rsidR="002071D5" w:rsidTr="00345119">
        <w:tc>
          <w:tcPr>
            <w:tcW w:w="9576" w:type="dxa"/>
          </w:tcPr>
          <w:p w:rsidR="008423E4" w:rsidRPr="00A8133F" w:rsidRDefault="005B5998" w:rsidP="00E01BA3">
            <w:pPr>
              <w:rPr>
                <w:b/>
              </w:rPr>
            </w:pPr>
            <w:r w:rsidRPr="009C1E9A">
              <w:rPr>
                <w:b/>
                <w:u w:val="single"/>
              </w:rPr>
              <w:t>ANALYSIS</w:t>
            </w:r>
            <w:r>
              <w:rPr>
                <w:b/>
              </w:rPr>
              <w:t xml:space="preserve"> </w:t>
            </w:r>
          </w:p>
          <w:p w:rsidR="008423E4" w:rsidRDefault="005B5998" w:rsidP="00E01BA3"/>
          <w:p w:rsidR="00FD2490" w:rsidRDefault="005B5998" w:rsidP="00E01BA3">
            <w:pPr>
              <w:pStyle w:val="Header"/>
              <w:tabs>
                <w:tab w:val="clear" w:pos="4320"/>
                <w:tab w:val="clear" w:pos="8640"/>
              </w:tabs>
              <w:jc w:val="both"/>
            </w:pPr>
            <w:r>
              <w:t>S.B. 1672</w:t>
            </w:r>
            <w:r>
              <w:t xml:space="preserve"> amends the Agriculture Code to </w:t>
            </w:r>
            <w:r>
              <w:t xml:space="preserve">require the </w:t>
            </w:r>
            <w:r w:rsidRPr="004F3756">
              <w:t>Department of Agriculture</w:t>
            </w:r>
            <w:r>
              <w:t xml:space="preserve"> (TDA) to </w:t>
            </w:r>
            <w:r w:rsidRPr="004F3756">
              <w:t>enter into a cooperative agreement</w:t>
            </w:r>
            <w:r w:rsidRPr="004F3756">
              <w:t xml:space="preserve"> with an institution of higher education that agrees to conduct early plant pest detection and surveillance</w:t>
            </w:r>
            <w:r>
              <w:t>.</w:t>
            </w:r>
            <w:r>
              <w:t xml:space="preserve"> The bill requires the TDA, in </w:t>
            </w:r>
            <w:r>
              <w:t>carrying out such requirement,</w:t>
            </w:r>
            <w:r>
              <w:t xml:space="preserve"> to </w:t>
            </w:r>
            <w:r w:rsidRPr="004F3756">
              <w:t>consult with the State Seed and Plant Board and other interested parties.</w:t>
            </w:r>
            <w:r>
              <w:t xml:space="preserve"> </w:t>
            </w:r>
            <w:r>
              <w:t xml:space="preserve">The bill </w:t>
            </w:r>
            <w:r>
              <w:t xml:space="preserve">defines </w:t>
            </w:r>
            <w:r w:rsidRPr="00FD2490">
              <w:t>"</w:t>
            </w:r>
            <w:r>
              <w:t>e</w:t>
            </w:r>
            <w:r w:rsidRPr="00FD2490">
              <w:t xml:space="preserve">arly plant pest detection and surveillance" </w:t>
            </w:r>
            <w:r>
              <w:t>a</w:t>
            </w:r>
            <w:r w:rsidRPr="00FD2490">
              <w:t xml:space="preserve">s the full range of activities undertaken to detect plant pests newly introduced to </w:t>
            </w:r>
            <w:r>
              <w:t>Texas</w:t>
            </w:r>
            <w:r w:rsidRPr="00FD2490">
              <w:t xml:space="preserve"> or to a certain area of </w:t>
            </w:r>
            <w:r>
              <w:t>Texas</w:t>
            </w:r>
            <w:r w:rsidRPr="00FD2490">
              <w:t xml:space="preserve"> before the pest becomes established or an infestation of the pest becomes too lar</w:t>
            </w:r>
            <w:r w:rsidRPr="00FD2490">
              <w:t>ge and costly to eradicate or control</w:t>
            </w:r>
            <w:r>
              <w:t xml:space="preserve"> and specifies that t</w:t>
            </w:r>
            <w:r w:rsidRPr="00FD2490">
              <w:t>he term includes activities undertaken to detect pests affecting specialty crops</w:t>
            </w:r>
            <w:r>
              <w:t>, defined by t</w:t>
            </w:r>
            <w:r>
              <w:t>he bill a</w:t>
            </w:r>
            <w:r w:rsidRPr="00FD2490">
              <w:t>s a fruit, vegetable, tree nut, dried fruit, or nursery crop, including floriculture.</w:t>
            </w:r>
          </w:p>
          <w:p w:rsidR="00FD2490" w:rsidRDefault="005B5998" w:rsidP="00E01BA3">
            <w:pPr>
              <w:pStyle w:val="Header"/>
              <w:tabs>
                <w:tab w:val="clear" w:pos="4320"/>
                <w:tab w:val="clear" w:pos="8640"/>
              </w:tabs>
              <w:jc w:val="both"/>
            </w:pPr>
          </w:p>
          <w:p w:rsidR="00BE451F" w:rsidRDefault="005B5998" w:rsidP="00E01BA3">
            <w:pPr>
              <w:pStyle w:val="Header"/>
              <w:jc w:val="both"/>
            </w:pPr>
            <w:r>
              <w:t>S.B. 167</w:t>
            </w:r>
            <w:r>
              <w:t xml:space="preserve">2 </w:t>
            </w:r>
            <w:r>
              <w:t>authorizes an institution of higher education to apply to enter into a</w:t>
            </w:r>
            <w:r>
              <w:t xml:space="preserve"> cooperative</w:t>
            </w:r>
            <w:r>
              <w:t xml:space="preserve"> agreement by submitting to the TDA an application containing</w:t>
            </w:r>
            <w:r>
              <w:t xml:space="preserve"> the</w:t>
            </w:r>
            <w:r>
              <w:t xml:space="preserve"> information required by the TDA</w:t>
            </w:r>
            <w:r>
              <w:t>.</w:t>
            </w:r>
            <w:r>
              <w:t xml:space="preserve"> </w:t>
            </w:r>
            <w:r>
              <w:t>The bill requires the TDA to notify each applicant of the following:</w:t>
            </w:r>
          </w:p>
          <w:p w:rsidR="00BE451F" w:rsidRDefault="005B5998" w:rsidP="00E01BA3">
            <w:pPr>
              <w:pStyle w:val="Header"/>
              <w:numPr>
                <w:ilvl w:val="0"/>
                <w:numId w:val="3"/>
              </w:numPr>
              <w:spacing w:before="120" w:after="120"/>
              <w:jc w:val="both"/>
            </w:pPr>
            <w:r>
              <w:t>audi</w:t>
            </w:r>
            <w:r>
              <w:t>ting and reporting requirements that will apply to an institution of higher education in connection with the use of any money provided by the TDA to the institution under the cooperative agreement;</w:t>
            </w:r>
          </w:p>
          <w:p w:rsidR="00BE451F" w:rsidRDefault="005B5998" w:rsidP="00E01BA3">
            <w:pPr>
              <w:pStyle w:val="Header"/>
              <w:numPr>
                <w:ilvl w:val="0"/>
                <w:numId w:val="3"/>
              </w:numPr>
              <w:spacing w:before="120" w:after="120"/>
              <w:jc w:val="both"/>
            </w:pPr>
            <w:r>
              <w:t>criteria to be used to ensure that early plant pest detect</w:t>
            </w:r>
            <w:r>
              <w:t>ion and surveillance conducted under the cooperative agreement are based on sound scientific data or risk assessments; and</w:t>
            </w:r>
          </w:p>
          <w:p w:rsidR="004F3756" w:rsidRDefault="005B5998" w:rsidP="00E01BA3">
            <w:pPr>
              <w:pStyle w:val="Header"/>
              <w:numPr>
                <w:ilvl w:val="0"/>
                <w:numId w:val="3"/>
              </w:numPr>
              <w:tabs>
                <w:tab w:val="clear" w:pos="4320"/>
                <w:tab w:val="clear" w:pos="8640"/>
              </w:tabs>
              <w:spacing w:before="120" w:after="120"/>
              <w:jc w:val="both"/>
            </w:pPr>
            <w:r>
              <w:t>required means of identifying pathways of pest introduction.</w:t>
            </w:r>
          </w:p>
          <w:p w:rsidR="004F3756" w:rsidRDefault="005B5998" w:rsidP="00E01BA3">
            <w:pPr>
              <w:pStyle w:val="Header"/>
              <w:tabs>
                <w:tab w:val="clear" w:pos="4320"/>
                <w:tab w:val="clear" w:pos="8640"/>
              </w:tabs>
              <w:jc w:val="both"/>
            </w:pPr>
          </w:p>
          <w:p w:rsidR="00BE451F" w:rsidRDefault="005B5998" w:rsidP="00E01BA3">
            <w:pPr>
              <w:pStyle w:val="Header"/>
              <w:tabs>
                <w:tab w:val="clear" w:pos="4320"/>
                <w:tab w:val="clear" w:pos="8640"/>
              </w:tabs>
              <w:jc w:val="both"/>
            </w:pPr>
            <w:r>
              <w:t xml:space="preserve">S.B. 1672 </w:t>
            </w:r>
            <w:r>
              <w:t xml:space="preserve">requires an </w:t>
            </w:r>
            <w:r w:rsidRPr="000F4DB6">
              <w:t>institution</w:t>
            </w:r>
            <w:r>
              <w:t xml:space="preserve"> of higher education to use any money </w:t>
            </w:r>
            <w:r>
              <w:t>received under a</w:t>
            </w:r>
            <w:r>
              <w:t xml:space="preserve"> cooperative</w:t>
            </w:r>
            <w:r>
              <w:t xml:space="preserve"> agreement to carry out early plant pest detection and surveillance approved by the TDA to prevent the introduction or spread of a plant pest. The bill authorizes the non-state share of the cost of carrying out a</w:t>
            </w:r>
            <w:r>
              <w:t xml:space="preserve"> cooperative</w:t>
            </w:r>
            <w:r>
              <w:t xml:space="preserve"> agr</w:t>
            </w:r>
            <w:r>
              <w:t>eement to be provided in-kind, including by covering certain indirect costs the TDA considers appropriate</w:t>
            </w:r>
            <w:r>
              <w:t xml:space="preserve">. The bill </w:t>
            </w:r>
            <w:r>
              <w:t xml:space="preserve">prohibits the TDA from considering an applicant's ability to pay or cover </w:t>
            </w:r>
            <w:r>
              <w:t>non-state</w:t>
            </w:r>
            <w:r>
              <w:t xml:space="preserve"> costs when deciding whether to enter into a</w:t>
            </w:r>
            <w:r>
              <w:t xml:space="preserve"> cooperative</w:t>
            </w:r>
            <w:r>
              <w:t xml:space="preserve"> agreement with the applicant. </w:t>
            </w:r>
          </w:p>
          <w:p w:rsidR="00BE451F" w:rsidRDefault="005B5998" w:rsidP="00E01BA3">
            <w:pPr>
              <w:pStyle w:val="Header"/>
              <w:tabs>
                <w:tab w:val="clear" w:pos="4320"/>
                <w:tab w:val="clear" w:pos="8640"/>
              </w:tabs>
              <w:jc w:val="both"/>
            </w:pPr>
          </w:p>
          <w:p w:rsidR="008423E4" w:rsidRDefault="005B5998" w:rsidP="00E01BA3">
            <w:pPr>
              <w:pStyle w:val="Header"/>
              <w:tabs>
                <w:tab w:val="clear" w:pos="4320"/>
                <w:tab w:val="clear" w:pos="8640"/>
              </w:tabs>
              <w:jc w:val="both"/>
            </w:pPr>
            <w:r>
              <w:t>S.B. 1672</w:t>
            </w:r>
            <w:r>
              <w:t xml:space="preserve"> requires the TDA to provide money to an institution</w:t>
            </w:r>
            <w:r>
              <w:t xml:space="preserve"> of higher education</w:t>
            </w:r>
            <w:r>
              <w:t xml:space="preserve"> </w:t>
            </w:r>
            <w:r w:rsidRPr="00BE451F">
              <w:t>to carry out early plant pest detection and surveillance under a cooperative agreement</w:t>
            </w:r>
            <w:r>
              <w:t xml:space="preserve"> if the TDA determines </w:t>
            </w:r>
            <w:r>
              <w:t>that</w:t>
            </w:r>
            <w:r>
              <w:t xml:space="preserve">: </w:t>
            </w:r>
          </w:p>
          <w:p w:rsidR="00BE451F" w:rsidRDefault="005B5998" w:rsidP="00E01BA3">
            <w:pPr>
              <w:pStyle w:val="Header"/>
              <w:numPr>
                <w:ilvl w:val="0"/>
                <w:numId w:val="4"/>
              </w:numPr>
              <w:spacing w:before="120" w:after="120"/>
              <w:jc w:val="both"/>
            </w:pPr>
            <w:r>
              <w:t>the institution is in a r</w:t>
            </w:r>
            <w:r>
              <w:t xml:space="preserve">egion of Texas that has a high risk of being affected by one or more plant pests or diseases based on the region's conduciveness to agricultural pest and disease establishment due to location, agricultural commodities produced, climate, crop </w:t>
            </w:r>
            <w:r>
              <w:t xml:space="preserve">diversity, or </w:t>
            </w:r>
            <w:r>
              <w:t>natural resources,</w:t>
            </w:r>
            <w:r>
              <w:t xml:space="preserve"> or</w:t>
            </w:r>
            <w:r>
              <w:t xml:space="preserve"> based on a TDA</w:t>
            </w:r>
            <w:r>
              <w:t xml:space="preserve"> determination that an agricultural pest or disease in the region is a state or federal concern; and</w:t>
            </w:r>
          </w:p>
          <w:p w:rsidR="00BE451F" w:rsidRDefault="005B5998" w:rsidP="00AE4E17">
            <w:pPr>
              <w:pStyle w:val="Header"/>
              <w:numPr>
                <w:ilvl w:val="0"/>
                <w:numId w:val="4"/>
              </w:numPr>
              <w:jc w:val="both"/>
            </w:pPr>
            <w:r>
              <w:t>the early plant pest detection and surveillance supported by the money will likely</w:t>
            </w:r>
            <w:r>
              <w:t xml:space="preserve"> </w:t>
            </w:r>
            <w:r>
              <w:t>prevent the introduction and establi</w:t>
            </w:r>
            <w:r>
              <w:t>shment of plant pests and</w:t>
            </w:r>
            <w:r>
              <w:t xml:space="preserve"> </w:t>
            </w:r>
            <w:r>
              <w:t>provide a comprehensive approach to complement federal plant pest or disease detection efforts.</w:t>
            </w:r>
          </w:p>
          <w:p w:rsidR="00BE451F" w:rsidRDefault="005B5998" w:rsidP="00E01BA3">
            <w:pPr>
              <w:pStyle w:val="Header"/>
              <w:tabs>
                <w:tab w:val="clear" w:pos="4320"/>
                <w:tab w:val="clear" w:pos="8640"/>
              </w:tabs>
              <w:jc w:val="both"/>
            </w:pPr>
          </w:p>
          <w:p w:rsidR="00980FB9" w:rsidRDefault="005B5998" w:rsidP="00AE4E17">
            <w:pPr>
              <w:pStyle w:val="Header"/>
              <w:tabs>
                <w:tab w:val="clear" w:pos="4320"/>
                <w:tab w:val="clear" w:pos="8640"/>
              </w:tabs>
              <w:jc w:val="both"/>
            </w:pPr>
            <w:r>
              <w:t xml:space="preserve">S.B. 1672 requires an institution of higher education that conducts </w:t>
            </w:r>
            <w:r w:rsidRPr="00F7027F">
              <w:t xml:space="preserve">an early plant pest detection and surveillance activity using money provided under </w:t>
            </w:r>
            <w:r>
              <w:t>the bill's provisions, not later than the 90th day after the date the activity is completed, to submit to the TDA a report describing the purposes and results of the activit</w:t>
            </w:r>
            <w:r>
              <w:t xml:space="preserve">y. The bill requires the TDA to establish a </w:t>
            </w:r>
            <w:r w:rsidRPr="00980FB9">
              <w:t>threat identification and mitigation program to determine and address threats to the domestic production of crops, including specialty crops.</w:t>
            </w:r>
            <w:r>
              <w:t xml:space="preserve"> The bill requires the TDA, under the program, to do the following: </w:t>
            </w:r>
          </w:p>
          <w:p w:rsidR="002E6071" w:rsidRDefault="005B5998" w:rsidP="00E01BA3">
            <w:pPr>
              <w:pStyle w:val="Header"/>
              <w:numPr>
                <w:ilvl w:val="0"/>
                <w:numId w:val="2"/>
              </w:numPr>
              <w:tabs>
                <w:tab w:val="clear" w:pos="4320"/>
                <w:tab w:val="clear" w:pos="8640"/>
              </w:tabs>
              <w:spacing w:before="120" w:after="120"/>
              <w:jc w:val="both"/>
            </w:pPr>
            <w:r w:rsidRPr="002E6071">
              <w:t>de</w:t>
            </w:r>
            <w:r w:rsidRPr="002E6071">
              <w:t>velop risk assessments for potential threats from foreign sources to the agricultural industry of</w:t>
            </w:r>
            <w:r>
              <w:t xml:space="preserve"> </w:t>
            </w:r>
            <w:r>
              <w:t>the state</w:t>
            </w:r>
            <w:r>
              <w:t>;</w:t>
            </w:r>
          </w:p>
          <w:p w:rsidR="002E6071" w:rsidRDefault="005B5998" w:rsidP="00E01BA3">
            <w:pPr>
              <w:pStyle w:val="Header"/>
              <w:numPr>
                <w:ilvl w:val="0"/>
                <w:numId w:val="2"/>
              </w:numPr>
              <w:tabs>
                <w:tab w:val="clear" w:pos="4320"/>
                <w:tab w:val="clear" w:pos="8640"/>
              </w:tabs>
              <w:spacing w:before="120" w:after="120"/>
              <w:jc w:val="both"/>
            </w:pPr>
            <w:r>
              <w:t>c</w:t>
            </w:r>
            <w:r w:rsidRPr="002E6071">
              <w:t>ollaborate with the State Seed and Plant Board; and</w:t>
            </w:r>
          </w:p>
          <w:p w:rsidR="002E6071" w:rsidRDefault="005B5998" w:rsidP="00E01BA3">
            <w:pPr>
              <w:pStyle w:val="Header"/>
              <w:numPr>
                <w:ilvl w:val="0"/>
                <w:numId w:val="2"/>
              </w:numPr>
              <w:tabs>
                <w:tab w:val="clear" w:pos="4320"/>
                <w:tab w:val="clear" w:pos="8640"/>
              </w:tabs>
              <w:spacing w:before="120" w:after="120"/>
              <w:jc w:val="both"/>
            </w:pPr>
            <w:r w:rsidRPr="002E6071">
              <w:t>implement action plans to assist in preventing the introduction and widespread dissemination o</w:t>
            </w:r>
            <w:r w:rsidRPr="002E6071">
              <w:t>f new or highly consequential plant pests and diseases in</w:t>
            </w:r>
            <w:r>
              <w:t xml:space="preserve"> Texas. </w:t>
            </w:r>
          </w:p>
          <w:p w:rsidR="002E6071" w:rsidRDefault="005B5998" w:rsidP="00AE4E17">
            <w:pPr>
              <w:pStyle w:val="Header"/>
              <w:tabs>
                <w:tab w:val="clear" w:pos="4320"/>
                <w:tab w:val="clear" w:pos="8640"/>
              </w:tabs>
              <w:jc w:val="both"/>
            </w:pPr>
            <w:r>
              <w:t xml:space="preserve">The bill requires the TDA, not later than September 1 of each year, to </w:t>
            </w:r>
            <w:r w:rsidRPr="002E6071">
              <w:t>submit to the committees of the senate and house of representatives with primary jurisdiction over agriculture and rura</w:t>
            </w:r>
            <w:r w:rsidRPr="002E6071">
              <w:t>l affairs a report on the action plans</w:t>
            </w:r>
            <w:r>
              <w:t xml:space="preserve">, including an accounting of money spent in connection with those plans. </w:t>
            </w:r>
          </w:p>
          <w:p w:rsidR="008423E4" w:rsidRPr="00835628" w:rsidRDefault="005B5998" w:rsidP="00E01BA3">
            <w:pPr>
              <w:rPr>
                <w:b/>
              </w:rPr>
            </w:pPr>
          </w:p>
        </w:tc>
      </w:tr>
      <w:tr w:rsidR="002071D5" w:rsidTr="00345119">
        <w:tc>
          <w:tcPr>
            <w:tcW w:w="9576" w:type="dxa"/>
          </w:tcPr>
          <w:p w:rsidR="008423E4" w:rsidRPr="00A8133F" w:rsidRDefault="005B5998" w:rsidP="00E01BA3">
            <w:pPr>
              <w:rPr>
                <w:b/>
              </w:rPr>
            </w:pPr>
            <w:r w:rsidRPr="009C1E9A">
              <w:rPr>
                <w:b/>
                <w:u w:val="single"/>
              </w:rPr>
              <w:t>EFFECTIVE DATE</w:t>
            </w:r>
            <w:r>
              <w:rPr>
                <w:b/>
              </w:rPr>
              <w:t xml:space="preserve"> </w:t>
            </w:r>
          </w:p>
          <w:p w:rsidR="008423E4" w:rsidRDefault="005B5998" w:rsidP="00E01BA3"/>
          <w:p w:rsidR="008423E4" w:rsidRPr="003624F2" w:rsidRDefault="005B5998" w:rsidP="00E01BA3">
            <w:pPr>
              <w:pStyle w:val="Header"/>
              <w:tabs>
                <w:tab w:val="clear" w:pos="4320"/>
                <w:tab w:val="clear" w:pos="8640"/>
              </w:tabs>
              <w:jc w:val="both"/>
            </w:pPr>
            <w:r>
              <w:t xml:space="preserve">September 1, 2019. </w:t>
            </w:r>
          </w:p>
          <w:p w:rsidR="008423E4" w:rsidRPr="00233FDB" w:rsidRDefault="005B5998" w:rsidP="00E01BA3">
            <w:pPr>
              <w:rPr>
                <w:b/>
              </w:rPr>
            </w:pPr>
          </w:p>
        </w:tc>
      </w:tr>
    </w:tbl>
    <w:p w:rsidR="008423E4" w:rsidRPr="00BE0E75" w:rsidRDefault="005B5998" w:rsidP="008423E4">
      <w:pPr>
        <w:spacing w:line="480" w:lineRule="auto"/>
        <w:jc w:val="both"/>
        <w:rPr>
          <w:rFonts w:ascii="Arial" w:hAnsi="Arial"/>
          <w:sz w:val="16"/>
          <w:szCs w:val="16"/>
        </w:rPr>
      </w:pPr>
    </w:p>
    <w:p w:rsidR="004108C3" w:rsidRPr="008423E4" w:rsidRDefault="005B599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5998">
      <w:r>
        <w:separator/>
      </w:r>
    </w:p>
  </w:endnote>
  <w:endnote w:type="continuationSeparator" w:id="0">
    <w:p w:rsidR="00000000" w:rsidRDefault="005B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B5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071D5" w:rsidTr="009C1E9A">
      <w:trPr>
        <w:cantSplit/>
      </w:trPr>
      <w:tc>
        <w:tcPr>
          <w:tcW w:w="0" w:type="pct"/>
        </w:tcPr>
        <w:p w:rsidR="00137D90" w:rsidRDefault="005B5998" w:rsidP="009C1E9A">
          <w:pPr>
            <w:pStyle w:val="Footer"/>
            <w:tabs>
              <w:tab w:val="clear" w:pos="8640"/>
              <w:tab w:val="right" w:pos="9360"/>
            </w:tabs>
          </w:pPr>
        </w:p>
      </w:tc>
      <w:tc>
        <w:tcPr>
          <w:tcW w:w="2395" w:type="pct"/>
        </w:tcPr>
        <w:p w:rsidR="00137D90" w:rsidRDefault="005B5998" w:rsidP="009C1E9A">
          <w:pPr>
            <w:pStyle w:val="Footer"/>
            <w:tabs>
              <w:tab w:val="clear" w:pos="8640"/>
              <w:tab w:val="right" w:pos="9360"/>
            </w:tabs>
          </w:pPr>
        </w:p>
        <w:p w:rsidR="001A4310" w:rsidRDefault="005B5998" w:rsidP="009C1E9A">
          <w:pPr>
            <w:pStyle w:val="Footer"/>
            <w:tabs>
              <w:tab w:val="clear" w:pos="8640"/>
              <w:tab w:val="right" w:pos="9360"/>
            </w:tabs>
          </w:pPr>
        </w:p>
        <w:p w:rsidR="00137D90" w:rsidRDefault="005B5998" w:rsidP="009C1E9A">
          <w:pPr>
            <w:pStyle w:val="Footer"/>
            <w:tabs>
              <w:tab w:val="clear" w:pos="8640"/>
              <w:tab w:val="right" w:pos="9360"/>
            </w:tabs>
          </w:pPr>
        </w:p>
      </w:tc>
      <w:tc>
        <w:tcPr>
          <w:tcW w:w="2453" w:type="pct"/>
        </w:tcPr>
        <w:p w:rsidR="00137D90" w:rsidRDefault="005B5998" w:rsidP="009C1E9A">
          <w:pPr>
            <w:pStyle w:val="Footer"/>
            <w:tabs>
              <w:tab w:val="clear" w:pos="8640"/>
              <w:tab w:val="right" w:pos="9360"/>
            </w:tabs>
            <w:jc w:val="right"/>
          </w:pPr>
        </w:p>
      </w:tc>
    </w:tr>
    <w:tr w:rsidR="002071D5" w:rsidTr="009C1E9A">
      <w:trPr>
        <w:cantSplit/>
      </w:trPr>
      <w:tc>
        <w:tcPr>
          <w:tcW w:w="0" w:type="pct"/>
        </w:tcPr>
        <w:p w:rsidR="00EC379B" w:rsidRDefault="005B5998" w:rsidP="009C1E9A">
          <w:pPr>
            <w:pStyle w:val="Footer"/>
            <w:tabs>
              <w:tab w:val="clear" w:pos="8640"/>
              <w:tab w:val="right" w:pos="9360"/>
            </w:tabs>
          </w:pPr>
        </w:p>
      </w:tc>
      <w:tc>
        <w:tcPr>
          <w:tcW w:w="2395" w:type="pct"/>
        </w:tcPr>
        <w:p w:rsidR="00EC379B" w:rsidRPr="009C1E9A" w:rsidRDefault="005B5998" w:rsidP="009C1E9A">
          <w:pPr>
            <w:pStyle w:val="Footer"/>
            <w:tabs>
              <w:tab w:val="clear" w:pos="8640"/>
              <w:tab w:val="right" w:pos="9360"/>
            </w:tabs>
            <w:rPr>
              <w:rFonts w:ascii="Shruti" w:hAnsi="Shruti"/>
              <w:sz w:val="22"/>
            </w:rPr>
          </w:pPr>
          <w:r>
            <w:rPr>
              <w:rFonts w:ascii="Shruti" w:hAnsi="Shruti"/>
              <w:sz w:val="22"/>
            </w:rPr>
            <w:t>86R 32598</w:t>
          </w:r>
        </w:p>
      </w:tc>
      <w:tc>
        <w:tcPr>
          <w:tcW w:w="2453" w:type="pct"/>
        </w:tcPr>
        <w:p w:rsidR="00EC379B" w:rsidRDefault="005B5998" w:rsidP="009C1E9A">
          <w:pPr>
            <w:pStyle w:val="Footer"/>
            <w:tabs>
              <w:tab w:val="clear" w:pos="8640"/>
              <w:tab w:val="right" w:pos="9360"/>
            </w:tabs>
            <w:jc w:val="right"/>
          </w:pPr>
          <w:r>
            <w:fldChar w:fldCharType="begin"/>
          </w:r>
          <w:r>
            <w:instrText xml:space="preserve"> DOCPROPERTY  OTID  \* MERGEFORMAT </w:instrText>
          </w:r>
          <w:r>
            <w:fldChar w:fldCharType="separate"/>
          </w:r>
          <w:r>
            <w:t>19.128.454</w:t>
          </w:r>
          <w:r>
            <w:fldChar w:fldCharType="end"/>
          </w:r>
        </w:p>
      </w:tc>
    </w:tr>
    <w:tr w:rsidR="002071D5" w:rsidTr="009C1E9A">
      <w:trPr>
        <w:cantSplit/>
      </w:trPr>
      <w:tc>
        <w:tcPr>
          <w:tcW w:w="0" w:type="pct"/>
        </w:tcPr>
        <w:p w:rsidR="00EC379B" w:rsidRDefault="005B5998" w:rsidP="009C1E9A">
          <w:pPr>
            <w:pStyle w:val="Footer"/>
            <w:tabs>
              <w:tab w:val="clear" w:pos="4320"/>
              <w:tab w:val="clear" w:pos="8640"/>
              <w:tab w:val="left" w:pos="2865"/>
            </w:tabs>
          </w:pPr>
        </w:p>
      </w:tc>
      <w:tc>
        <w:tcPr>
          <w:tcW w:w="2395" w:type="pct"/>
        </w:tcPr>
        <w:p w:rsidR="00EC379B" w:rsidRPr="009C1E9A" w:rsidRDefault="005B5998" w:rsidP="009C1E9A">
          <w:pPr>
            <w:pStyle w:val="Footer"/>
            <w:tabs>
              <w:tab w:val="clear" w:pos="4320"/>
              <w:tab w:val="clear" w:pos="8640"/>
              <w:tab w:val="left" w:pos="2865"/>
            </w:tabs>
            <w:rPr>
              <w:rFonts w:ascii="Shruti" w:hAnsi="Shruti"/>
              <w:sz w:val="22"/>
            </w:rPr>
          </w:pPr>
        </w:p>
      </w:tc>
      <w:tc>
        <w:tcPr>
          <w:tcW w:w="2453" w:type="pct"/>
        </w:tcPr>
        <w:p w:rsidR="00EC379B" w:rsidRDefault="005B5998" w:rsidP="006D504F">
          <w:pPr>
            <w:pStyle w:val="Footer"/>
            <w:rPr>
              <w:rStyle w:val="PageNumber"/>
            </w:rPr>
          </w:pPr>
        </w:p>
        <w:p w:rsidR="00EC379B" w:rsidRDefault="005B5998" w:rsidP="009C1E9A">
          <w:pPr>
            <w:pStyle w:val="Footer"/>
            <w:tabs>
              <w:tab w:val="clear" w:pos="8640"/>
              <w:tab w:val="right" w:pos="9360"/>
            </w:tabs>
            <w:jc w:val="right"/>
          </w:pPr>
        </w:p>
      </w:tc>
    </w:tr>
    <w:tr w:rsidR="002071D5" w:rsidTr="009C1E9A">
      <w:trPr>
        <w:cantSplit/>
        <w:trHeight w:val="323"/>
      </w:trPr>
      <w:tc>
        <w:tcPr>
          <w:tcW w:w="0" w:type="pct"/>
          <w:gridSpan w:val="3"/>
        </w:tcPr>
        <w:p w:rsidR="00EC379B" w:rsidRDefault="005B599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B5998" w:rsidP="009C1E9A">
          <w:pPr>
            <w:pStyle w:val="Footer"/>
            <w:tabs>
              <w:tab w:val="clear" w:pos="8640"/>
              <w:tab w:val="right" w:pos="9360"/>
            </w:tabs>
            <w:jc w:val="center"/>
          </w:pPr>
        </w:p>
      </w:tc>
    </w:tr>
  </w:tbl>
  <w:p w:rsidR="00EC379B" w:rsidRPr="00FF6F72" w:rsidRDefault="005B599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B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5998">
      <w:r>
        <w:separator/>
      </w:r>
    </w:p>
  </w:footnote>
  <w:footnote w:type="continuationSeparator" w:id="0">
    <w:p w:rsidR="00000000" w:rsidRDefault="005B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B5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B5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B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5F6D"/>
    <w:multiLevelType w:val="hybridMultilevel"/>
    <w:tmpl w:val="6BAE7AC4"/>
    <w:lvl w:ilvl="0" w:tplc="BEB48BA8">
      <w:start w:val="1"/>
      <w:numFmt w:val="bullet"/>
      <w:lvlText w:val=""/>
      <w:lvlJc w:val="left"/>
      <w:pPr>
        <w:tabs>
          <w:tab w:val="num" w:pos="720"/>
        </w:tabs>
        <w:ind w:left="720" w:hanging="360"/>
      </w:pPr>
      <w:rPr>
        <w:rFonts w:ascii="Symbol" w:hAnsi="Symbol" w:hint="default"/>
      </w:rPr>
    </w:lvl>
    <w:lvl w:ilvl="1" w:tplc="22C43E70" w:tentative="1">
      <w:start w:val="1"/>
      <w:numFmt w:val="bullet"/>
      <w:lvlText w:val="o"/>
      <w:lvlJc w:val="left"/>
      <w:pPr>
        <w:ind w:left="1440" w:hanging="360"/>
      </w:pPr>
      <w:rPr>
        <w:rFonts w:ascii="Courier New" w:hAnsi="Courier New" w:cs="Courier New" w:hint="default"/>
      </w:rPr>
    </w:lvl>
    <w:lvl w:ilvl="2" w:tplc="B8729438" w:tentative="1">
      <w:start w:val="1"/>
      <w:numFmt w:val="bullet"/>
      <w:lvlText w:val=""/>
      <w:lvlJc w:val="left"/>
      <w:pPr>
        <w:ind w:left="2160" w:hanging="360"/>
      </w:pPr>
      <w:rPr>
        <w:rFonts w:ascii="Wingdings" w:hAnsi="Wingdings" w:hint="default"/>
      </w:rPr>
    </w:lvl>
    <w:lvl w:ilvl="3" w:tplc="D514EB92" w:tentative="1">
      <w:start w:val="1"/>
      <w:numFmt w:val="bullet"/>
      <w:lvlText w:val=""/>
      <w:lvlJc w:val="left"/>
      <w:pPr>
        <w:ind w:left="2880" w:hanging="360"/>
      </w:pPr>
      <w:rPr>
        <w:rFonts w:ascii="Symbol" w:hAnsi="Symbol" w:hint="default"/>
      </w:rPr>
    </w:lvl>
    <w:lvl w:ilvl="4" w:tplc="BF92E414" w:tentative="1">
      <w:start w:val="1"/>
      <w:numFmt w:val="bullet"/>
      <w:lvlText w:val="o"/>
      <w:lvlJc w:val="left"/>
      <w:pPr>
        <w:ind w:left="3600" w:hanging="360"/>
      </w:pPr>
      <w:rPr>
        <w:rFonts w:ascii="Courier New" w:hAnsi="Courier New" w:cs="Courier New" w:hint="default"/>
      </w:rPr>
    </w:lvl>
    <w:lvl w:ilvl="5" w:tplc="974A5BAC" w:tentative="1">
      <w:start w:val="1"/>
      <w:numFmt w:val="bullet"/>
      <w:lvlText w:val=""/>
      <w:lvlJc w:val="left"/>
      <w:pPr>
        <w:ind w:left="4320" w:hanging="360"/>
      </w:pPr>
      <w:rPr>
        <w:rFonts w:ascii="Wingdings" w:hAnsi="Wingdings" w:hint="default"/>
      </w:rPr>
    </w:lvl>
    <w:lvl w:ilvl="6" w:tplc="29D4F31A" w:tentative="1">
      <w:start w:val="1"/>
      <w:numFmt w:val="bullet"/>
      <w:lvlText w:val=""/>
      <w:lvlJc w:val="left"/>
      <w:pPr>
        <w:ind w:left="5040" w:hanging="360"/>
      </w:pPr>
      <w:rPr>
        <w:rFonts w:ascii="Symbol" w:hAnsi="Symbol" w:hint="default"/>
      </w:rPr>
    </w:lvl>
    <w:lvl w:ilvl="7" w:tplc="ADF29F94" w:tentative="1">
      <w:start w:val="1"/>
      <w:numFmt w:val="bullet"/>
      <w:lvlText w:val="o"/>
      <w:lvlJc w:val="left"/>
      <w:pPr>
        <w:ind w:left="5760" w:hanging="360"/>
      </w:pPr>
      <w:rPr>
        <w:rFonts w:ascii="Courier New" w:hAnsi="Courier New" w:cs="Courier New" w:hint="default"/>
      </w:rPr>
    </w:lvl>
    <w:lvl w:ilvl="8" w:tplc="81C01752" w:tentative="1">
      <w:start w:val="1"/>
      <w:numFmt w:val="bullet"/>
      <w:lvlText w:val=""/>
      <w:lvlJc w:val="left"/>
      <w:pPr>
        <w:ind w:left="6480" w:hanging="360"/>
      </w:pPr>
      <w:rPr>
        <w:rFonts w:ascii="Wingdings" w:hAnsi="Wingdings" w:hint="default"/>
      </w:rPr>
    </w:lvl>
  </w:abstractNum>
  <w:abstractNum w:abstractNumId="1" w15:restartNumberingAfterBreak="0">
    <w:nsid w:val="22A01D53"/>
    <w:multiLevelType w:val="hybridMultilevel"/>
    <w:tmpl w:val="5A76CCE8"/>
    <w:lvl w:ilvl="0" w:tplc="0ABC37D0">
      <w:start w:val="1"/>
      <w:numFmt w:val="bullet"/>
      <w:lvlText w:val=""/>
      <w:lvlJc w:val="left"/>
      <w:pPr>
        <w:tabs>
          <w:tab w:val="num" w:pos="720"/>
        </w:tabs>
        <w:ind w:left="720" w:hanging="360"/>
      </w:pPr>
      <w:rPr>
        <w:rFonts w:ascii="Symbol" w:hAnsi="Symbol" w:hint="default"/>
      </w:rPr>
    </w:lvl>
    <w:lvl w:ilvl="1" w:tplc="75C8F49C" w:tentative="1">
      <w:start w:val="1"/>
      <w:numFmt w:val="bullet"/>
      <w:lvlText w:val="o"/>
      <w:lvlJc w:val="left"/>
      <w:pPr>
        <w:ind w:left="1440" w:hanging="360"/>
      </w:pPr>
      <w:rPr>
        <w:rFonts w:ascii="Courier New" w:hAnsi="Courier New" w:cs="Courier New" w:hint="default"/>
      </w:rPr>
    </w:lvl>
    <w:lvl w:ilvl="2" w:tplc="C02E176C" w:tentative="1">
      <w:start w:val="1"/>
      <w:numFmt w:val="bullet"/>
      <w:lvlText w:val=""/>
      <w:lvlJc w:val="left"/>
      <w:pPr>
        <w:ind w:left="2160" w:hanging="360"/>
      </w:pPr>
      <w:rPr>
        <w:rFonts w:ascii="Wingdings" w:hAnsi="Wingdings" w:hint="default"/>
      </w:rPr>
    </w:lvl>
    <w:lvl w:ilvl="3" w:tplc="F27AC57C" w:tentative="1">
      <w:start w:val="1"/>
      <w:numFmt w:val="bullet"/>
      <w:lvlText w:val=""/>
      <w:lvlJc w:val="left"/>
      <w:pPr>
        <w:ind w:left="2880" w:hanging="360"/>
      </w:pPr>
      <w:rPr>
        <w:rFonts w:ascii="Symbol" w:hAnsi="Symbol" w:hint="default"/>
      </w:rPr>
    </w:lvl>
    <w:lvl w:ilvl="4" w:tplc="DF0C6DF8" w:tentative="1">
      <w:start w:val="1"/>
      <w:numFmt w:val="bullet"/>
      <w:lvlText w:val="o"/>
      <w:lvlJc w:val="left"/>
      <w:pPr>
        <w:ind w:left="3600" w:hanging="360"/>
      </w:pPr>
      <w:rPr>
        <w:rFonts w:ascii="Courier New" w:hAnsi="Courier New" w:cs="Courier New" w:hint="default"/>
      </w:rPr>
    </w:lvl>
    <w:lvl w:ilvl="5" w:tplc="1C822E32" w:tentative="1">
      <w:start w:val="1"/>
      <w:numFmt w:val="bullet"/>
      <w:lvlText w:val=""/>
      <w:lvlJc w:val="left"/>
      <w:pPr>
        <w:ind w:left="4320" w:hanging="360"/>
      </w:pPr>
      <w:rPr>
        <w:rFonts w:ascii="Wingdings" w:hAnsi="Wingdings" w:hint="default"/>
      </w:rPr>
    </w:lvl>
    <w:lvl w:ilvl="6" w:tplc="80E2DD32" w:tentative="1">
      <w:start w:val="1"/>
      <w:numFmt w:val="bullet"/>
      <w:lvlText w:val=""/>
      <w:lvlJc w:val="left"/>
      <w:pPr>
        <w:ind w:left="5040" w:hanging="360"/>
      </w:pPr>
      <w:rPr>
        <w:rFonts w:ascii="Symbol" w:hAnsi="Symbol" w:hint="default"/>
      </w:rPr>
    </w:lvl>
    <w:lvl w:ilvl="7" w:tplc="4740B324" w:tentative="1">
      <w:start w:val="1"/>
      <w:numFmt w:val="bullet"/>
      <w:lvlText w:val="o"/>
      <w:lvlJc w:val="left"/>
      <w:pPr>
        <w:ind w:left="5760" w:hanging="360"/>
      </w:pPr>
      <w:rPr>
        <w:rFonts w:ascii="Courier New" w:hAnsi="Courier New" w:cs="Courier New" w:hint="default"/>
      </w:rPr>
    </w:lvl>
    <w:lvl w:ilvl="8" w:tplc="08948EB6" w:tentative="1">
      <w:start w:val="1"/>
      <w:numFmt w:val="bullet"/>
      <w:lvlText w:val=""/>
      <w:lvlJc w:val="left"/>
      <w:pPr>
        <w:ind w:left="6480" w:hanging="360"/>
      </w:pPr>
      <w:rPr>
        <w:rFonts w:ascii="Wingdings" w:hAnsi="Wingdings" w:hint="default"/>
      </w:rPr>
    </w:lvl>
  </w:abstractNum>
  <w:abstractNum w:abstractNumId="2" w15:restartNumberingAfterBreak="0">
    <w:nsid w:val="50A874C2"/>
    <w:multiLevelType w:val="hybridMultilevel"/>
    <w:tmpl w:val="1494F6AE"/>
    <w:lvl w:ilvl="0" w:tplc="3618A4E0">
      <w:start w:val="1"/>
      <w:numFmt w:val="bullet"/>
      <w:lvlText w:val=""/>
      <w:lvlJc w:val="left"/>
      <w:pPr>
        <w:tabs>
          <w:tab w:val="num" w:pos="720"/>
        </w:tabs>
        <w:ind w:left="720" w:hanging="360"/>
      </w:pPr>
      <w:rPr>
        <w:rFonts w:ascii="Symbol" w:hAnsi="Symbol" w:hint="default"/>
      </w:rPr>
    </w:lvl>
    <w:lvl w:ilvl="1" w:tplc="D564E81C" w:tentative="1">
      <w:start w:val="1"/>
      <w:numFmt w:val="bullet"/>
      <w:lvlText w:val="o"/>
      <w:lvlJc w:val="left"/>
      <w:pPr>
        <w:ind w:left="1440" w:hanging="360"/>
      </w:pPr>
      <w:rPr>
        <w:rFonts w:ascii="Courier New" w:hAnsi="Courier New" w:cs="Courier New" w:hint="default"/>
      </w:rPr>
    </w:lvl>
    <w:lvl w:ilvl="2" w:tplc="1DAA8C62" w:tentative="1">
      <w:start w:val="1"/>
      <w:numFmt w:val="bullet"/>
      <w:lvlText w:val=""/>
      <w:lvlJc w:val="left"/>
      <w:pPr>
        <w:ind w:left="2160" w:hanging="360"/>
      </w:pPr>
      <w:rPr>
        <w:rFonts w:ascii="Wingdings" w:hAnsi="Wingdings" w:hint="default"/>
      </w:rPr>
    </w:lvl>
    <w:lvl w:ilvl="3" w:tplc="0C5A4D86" w:tentative="1">
      <w:start w:val="1"/>
      <w:numFmt w:val="bullet"/>
      <w:lvlText w:val=""/>
      <w:lvlJc w:val="left"/>
      <w:pPr>
        <w:ind w:left="2880" w:hanging="360"/>
      </w:pPr>
      <w:rPr>
        <w:rFonts w:ascii="Symbol" w:hAnsi="Symbol" w:hint="default"/>
      </w:rPr>
    </w:lvl>
    <w:lvl w:ilvl="4" w:tplc="65A61A9C" w:tentative="1">
      <w:start w:val="1"/>
      <w:numFmt w:val="bullet"/>
      <w:lvlText w:val="o"/>
      <w:lvlJc w:val="left"/>
      <w:pPr>
        <w:ind w:left="3600" w:hanging="360"/>
      </w:pPr>
      <w:rPr>
        <w:rFonts w:ascii="Courier New" w:hAnsi="Courier New" w:cs="Courier New" w:hint="default"/>
      </w:rPr>
    </w:lvl>
    <w:lvl w:ilvl="5" w:tplc="297CFEEA" w:tentative="1">
      <w:start w:val="1"/>
      <w:numFmt w:val="bullet"/>
      <w:lvlText w:val=""/>
      <w:lvlJc w:val="left"/>
      <w:pPr>
        <w:ind w:left="4320" w:hanging="360"/>
      </w:pPr>
      <w:rPr>
        <w:rFonts w:ascii="Wingdings" w:hAnsi="Wingdings" w:hint="default"/>
      </w:rPr>
    </w:lvl>
    <w:lvl w:ilvl="6" w:tplc="11543EF2" w:tentative="1">
      <w:start w:val="1"/>
      <w:numFmt w:val="bullet"/>
      <w:lvlText w:val=""/>
      <w:lvlJc w:val="left"/>
      <w:pPr>
        <w:ind w:left="5040" w:hanging="360"/>
      </w:pPr>
      <w:rPr>
        <w:rFonts w:ascii="Symbol" w:hAnsi="Symbol" w:hint="default"/>
      </w:rPr>
    </w:lvl>
    <w:lvl w:ilvl="7" w:tplc="34749ED2" w:tentative="1">
      <w:start w:val="1"/>
      <w:numFmt w:val="bullet"/>
      <w:lvlText w:val="o"/>
      <w:lvlJc w:val="left"/>
      <w:pPr>
        <w:ind w:left="5760" w:hanging="360"/>
      </w:pPr>
      <w:rPr>
        <w:rFonts w:ascii="Courier New" w:hAnsi="Courier New" w:cs="Courier New" w:hint="default"/>
      </w:rPr>
    </w:lvl>
    <w:lvl w:ilvl="8" w:tplc="67325868" w:tentative="1">
      <w:start w:val="1"/>
      <w:numFmt w:val="bullet"/>
      <w:lvlText w:val=""/>
      <w:lvlJc w:val="left"/>
      <w:pPr>
        <w:ind w:left="6480" w:hanging="360"/>
      </w:pPr>
      <w:rPr>
        <w:rFonts w:ascii="Wingdings" w:hAnsi="Wingdings" w:hint="default"/>
      </w:rPr>
    </w:lvl>
  </w:abstractNum>
  <w:abstractNum w:abstractNumId="3" w15:restartNumberingAfterBreak="0">
    <w:nsid w:val="5F440BBB"/>
    <w:multiLevelType w:val="hybridMultilevel"/>
    <w:tmpl w:val="7F2EA984"/>
    <w:lvl w:ilvl="0" w:tplc="B5D43622">
      <w:start w:val="1"/>
      <w:numFmt w:val="bullet"/>
      <w:lvlText w:val=""/>
      <w:lvlJc w:val="left"/>
      <w:pPr>
        <w:tabs>
          <w:tab w:val="num" w:pos="720"/>
        </w:tabs>
        <w:ind w:left="720" w:hanging="360"/>
      </w:pPr>
      <w:rPr>
        <w:rFonts w:ascii="Symbol" w:hAnsi="Symbol" w:hint="default"/>
      </w:rPr>
    </w:lvl>
    <w:lvl w:ilvl="1" w:tplc="1E78529A" w:tentative="1">
      <w:start w:val="1"/>
      <w:numFmt w:val="bullet"/>
      <w:lvlText w:val="o"/>
      <w:lvlJc w:val="left"/>
      <w:pPr>
        <w:ind w:left="1440" w:hanging="360"/>
      </w:pPr>
      <w:rPr>
        <w:rFonts w:ascii="Courier New" w:hAnsi="Courier New" w:cs="Courier New" w:hint="default"/>
      </w:rPr>
    </w:lvl>
    <w:lvl w:ilvl="2" w:tplc="37C6FDF8" w:tentative="1">
      <w:start w:val="1"/>
      <w:numFmt w:val="bullet"/>
      <w:lvlText w:val=""/>
      <w:lvlJc w:val="left"/>
      <w:pPr>
        <w:ind w:left="2160" w:hanging="360"/>
      </w:pPr>
      <w:rPr>
        <w:rFonts w:ascii="Wingdings" w:hAnsi="Wingdings" w:hint="default"/>
      </w:rPr>
    </w:lvl>
    <w:lvl w:ilvl="3" w:tplc="C7687EA0" w:tentative="1">
      <w:start w:val="1"/>
      <w:numFmt w:val="bullet"/>
      <w:lvlText w:val=""/>
      <w:lvlJc w:val="left"/>
      <w:pPr>
        <w:ind w:left="2880" w:hanging="360"/>
      </w:pPr>
      <w:rPr>
        <w:rFonts w:ascii="Symbol" w:hAnsi="Symbol" w:hint="default"/>
      </w:rPr>
    </w:lvl>
    <w:lvl w:ilvl="4" w:tplc="5BE0167C" w:tentative="1">
      <w:start w:val="1"/>
      <w:numFmt w:val="bullet"/>
      <w:lvlText w:val="o"/>
      <w:lvlJc w:val="left"/>
      <w:pPr>
        <w:ind w:left="3600" w:hanging="360"/>
      </w:pPr>
      <w:rPr>
        <w:rFonts w:ascii="Courier New" w:hAnsi="Courier New" w:cs="Courier New" w:hint="default"/>
      </w:rPr>
    </w:lvl>
    <w:lvl w:ilvl="5" w:tplc="0C1CFFDE" w:tentative="1">
      <w:start w:val="1"/>
      <w:numFmt w:val="bullet"/>
      <w:lvlText w:val=""/>
      <w:lvlJc w:val="left"/>
      <w:pPr>
        <w:ind w:left="4320" w:hanging="360"/>
      </w:pPr>
      <w:rPr>
        <w:rFonts w:ascii="Wingdings" w:hAnsi="Wingdings" w:hint="default"/>
      </w:rPr>
    </w:lvl>
    <w:lvl w:ilvl="6" w:tplc="754EC766" w:tentative="1">
      <w:start w:val="1"/>
      <w:numFmt w:val="bullet"/>
      <w:lvlText w:val=""/>
      <w:lvlJc w:val="left"/>
      <w:pPr>
        <w:ind w:left="5040" w:hanging="360"/>
      </w:pPr>
      <w:rPr>
        <w:rFonts w:ascii="Symbol" w:hAnsi="Symbol" w:hint="default"/>
      </w:rPr>
    </w:lvl>
    <w:lvl w:ilvl="7" w:tplc="31BC7316" w:tentative="1">
      <w:start w:val="1"/>
      <w:numFmt w:val="bullet"/>
      <w:lvlText w:val="o"/>
      <w:lvlJc w:val="left"/>
      <w:pPr>
        <w:ind w:left="5760" w:hanging="360"/>
      </w:pPr>
      <w:rPr>
        <w:rFonts w:ascii="Courier New" w:hAnsi="Courier New" w:cs="Courier New" w:hint="default"/>
      </w:rPr>
    </w:lvl>
    <w:lvl w:ilvl="8" w:tplc="6D189072"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D5"/>
    <w:rsid w:val="002071D5"/>
    <w:rsid w:val="005B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74F1C7-90F8-4B6E-9CC0-CE5CD7ED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F4DB6"/>
    <w:rPr>
      <w:sz w:val="16"/>
      <w:szCs w:val="16"/>
    </w:rPr>
  </w:style>
  <w:style w:type="paragraph" w:styleId="CommentText">
    <w:name w:val="annotation text"/>
    <w:basedOn w:val="Normal"/>
    <w:link w:val="CommentTextChar"/>
    <w:semiHidden/>
    <w:unhideWhenUsed/>
    <w:rsid w:val="000F4DB6"/>
    <w:rPr>
      <w:sz w:val="20"/>
      <w:szCs w:val="20"/>
    </w:rPr>
  </w:style>
  <w:style w:type="character" w:customStyle="1" w:styleId="CommentTextChar">
    <w:name w:val="Comment Text Char"/>
    <w:basedOn w:val="DefaultParagraphFont"/>
    <w:link w:val="CommentText"/>
    <w:semiHidden/>
    <w:rsid w:val="000F4DB6"/>
  </w:style>
  <w:style w:type="paragraph" w:styleId="CommentSubject">
    <w:name w:val="annotation subject"/>
    <w:basedOn w:val="CommentText"/>
    <w:next w:val="CommentText"/>
    <w:link w:val="CommentSubjectChar"/>
    <w:semiHidden/>
    <w:unhideWhenUsed/>
    <w:rsid w:val="000F4DB6"/>
    <w:rPr>
      <w:b/>
      <w:bCs/>
    </w:rPr>
  </w:style>
  <w:style w:type="character" w:customStyle="1" w:styleId="CommentSubjectChar">
    <w:name w:val="Comment Subject Char"/>
    <w:basedOn w:val="CommentTextChar"/>
    <w:link w:val="CommentSubject"/>
    <w:semiHidden/>
    <w:rsid w:val="000F4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862</Words>
  <Characters>4688</Characters>
  <Application>Microsoft Office Word</Application>
  <DocSecurity>4</DocSecurity>
  <Lines>97</Lines>
  <Paragraphs>28</Paragraphs>
  <ScaleCrop>false</ScaleCrop>
  <HeadingPairs>
    <vt:vector size="2" baseType="variant">
      <vt:variant>
        <vt:lpstr>Title</vt:lpstr>
      </vt:variant>
      <vt:variant>
        <vt:i4>1</vt:i4>
      </vt:variant>
    </vt:vector>
  </HeadingPairs>
  <TitlesOfParts>
    <vt:vector size="1" baseType="lpstr">
      <vt:lpstr>BA - SB01672 (Committee Report (Unamended))</vt:lpstr>
    </vt:vector>
  </TitlesOfParts>
  <Company>State of Texas</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32598</dc:subject>
  <dc:creator>State of Texas</dc:creator>
  <dc:description>SB 1672 by Perry-(H)Agriculture &amp; Livestock</dc:description>
  <cp:lastModifiedBy>Erin Conway</cp:lastModifiedBy>
  <cp:revision>2</cp:revision>
  <cp:lastPrinted>2003-11-26T17:21:00Z</cp:lastPrinted>
  <dcterms:created xsi:type="dcterms:W3CDTF">2019-05-09T20:06:00Z</dcterms:created>
  <dcterms:modified xsi:type="dcterms:W3CDTF">2019-05-09T20:06:00Z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19.128.454</vt:lpwstr>
  </property>
</Properties>
</file>