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125B" w:rsidTr="00345119">
        <w:tc>
          <w:tcPr>
            <w:tcW w:w="9576" w:type="dxa"/>
            <w:noWrap/>
          </w:tcPr>
          <w:p w:rsidR="008423E4" w:rsidRPr="0022177D" w:rsidRDefault="004B3E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3EFA" w:rsidP="008423E4">
      <w:pPr>
        <w:jc w:val="center"/>
      </w:pPr>
    </w:p>
    <w:p w:rsidR="008423E4" w:rsidRPr="00B31F0E" w:rsidRDefault="004B3EFA" w:rsidP="008423E4"/>
    <w:p w:rsidR="008423E4" w:rsidRPr="00742794" w:rsidRDefault="004B3E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125B" w:rsidTr="00345119">
        <w:tc>
          <w:tcPr>
            <w:tcW w:w="9576" w:type="dxa"/>
          </w:tcPr>
          <w:p w:rsidR="008423E4" w:rsidRPr="00861995" w:rsidRDefault="004B3EFA" w:rsidP="00345119">
            <w:pPr>
              <w:jc w:val="right"/>
            </w:pPr>
            <w:r>
              <w:t>S.B. 1689</w:t>
            </w:r>
          </w:p>
        </w:tc>
      </w:tr>
      <w:tr w:rsidR="003C125B" w:rsidTr="00345119">
        <w:tc>
          <w:tcPr>
            <w:tcW w:w="9576" w:type="dxa"/>
          </w:tcPr>
          <w:p w:rsidR="008423E4" w:rsidRPr="00861995" w:rsidRDefault="004B3EFA" w:rsidP="001D3891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3C125B" w:rsidTr="00345119">
        <w:tc>
          <w:tcPr>
            <w:tcW w:w="9576" w:type="dxa"/>
          </w:tcPr>
          <w:p w:rsidR="008423E4" w:rsidRPr="00861995" w:rsidRDefault="004B3EFA" w:rsidP="00345119">
            <w:pPr>
              <w:jc w:val="right"/>
            </w:pPr>
            <w:r>
              <w:t>Pensions, Investments &amp; Financial Services</w:t>
            </w:r>
          </w:p>
        </w:tc>
      </w:tr>
      <w:tr w:rsidR="003C125B" w:rsidTr="00345119">
        <w:tc>
          <w:tcPr>
            <w:tcW w:w="9576" w:type="dxa"/>
          </w:tcPr>
          <w:p w:rsidR="008423E4" w:rsidRDefault="004B3E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3EFA" w:rsidP="008423E4">
      <w:pPr>
        <w:tabs>
          <w:tab w:val="right" w:pos="9360"/>
        </w:tabs>
      </w:pPr>
    </w:p>
    <w:p w:rsidR="008423E4" w:rsidRDefault="004B3EFA" w:rsidP="008423E4"/>
    <w:p w:rsidR="008423E4" w:rsidRDefault="004B3E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125B" w:rsidTr="00345119">
        <w:tc>
          <w:tcPr>
            <w:tcW w:w="9576" w:type="dxa"/>
          </w:tcPr>
          <w:p w:rsidR="008423E4" w:rsidRPr="00A8133F" w:rsidRDefault="004B3EFA" w:rsidP="00161F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3EFA" w:rsidP="00161F81"/>
          <w:p w:rsidR="008423E4" w:rsidRDefault="004B3EFA" w:rsidP="00161F81">
            <w:pPr>
              <w:pStyle w:val="Header"/>
              <w:jc w:val="both"/>
            </w:pPr>
            <w:r>
              <w:t xml:space="preserve">It has been noted that </w:t>
            </w:r>
            <w:r>
              <w:t>a local government sponsor may create and sponsor more than one</w:t>
            </w:r>
            <w:r>
              <w:t xml:space="preserve"> public facility corporation</w:t>
            </w:r>
            <w:r>
              <w:t xml:space="preserve"> but is not expressly authorized to create </w:t>
            </w:r>
            <w:r>
              <w:t xml:space="preserve">such </w:t>
            </w:r>
            <w:r>
              <w:t xml:space="preserve">a </w:t>
            </w:r>
            <w:r>
              <w:t>corporation</w:t>
            </w:r>
            <w:r>
              <w:t xml:space="preserve"> jointly with another local government. </w:t>
            </w:r>
            <w:r>
              <w:t>It has been suggested that a</w:t>
            </w:r>
            <w:r>
              <w:t xml:space="preserve">llowing a </w:t>
            </w:r>
            <w:r>
              <w:t>public facility corporation</w:t>
            </w:r>
            <w:r>
              <w:t xml:space="preserve"> to be created jointly by more than one local government would promote collaboration and r</w:t>
            </w:r>
            <w:r>
              <w:t>esult in greater efficiencies and cost savings. S.B. 1689</w:t>
            </w:r>
            <w:r>
              <w:t xml:space="preserve"> seeks to address this issue by</w:t>
            </w:r>
            <w:r>
              <w:t xml:space="preserve"> </w:t>
            </w:r>
            <w:r>
              <w:t>authorizing</w:t>
            </w:r>
            <w:r w:rsidRPr="00E60692">
              <w:t xml:space="preserve"> two </w:t>
            </w:r>
            <w:r>
              <w:t>or more sponsors</w:t>
            </w:r>
            <w:r w:rsidRPr="00E60692">
              <w:t xml:space="preserve"> to create a corporation under the Public Facility Corporation Act to accomplish the corporation's purposes with r</w:t>
            </w:r>
            <w:r>
              <w:t>espect to each of the</w:t>
            </w:r>
            <w:r>
              <w:t xml:space="preserve"> sponsors.</w:t>
            </w:r>
          </w:p>
          <w:p w:rsidR="008423E4" w:rsidRPr="00E26B13" w:rsidRDefault="004B3EFA" w:rsidP="00161F81">
            <w:pPr>
              <w:rPr>
                <w:b/>
              </w:rPr>
            </w:pPr>
          </w:p>
        </w:tc>
      </w:tr>
      <w:tr w:rsidR="003C125B" w:rsidTr="00345119">
        <w:tc>
          <w:tcPr>
            <w:tcW w:w="9576" w:type="dxa"/>
          </w:tcPr>
          <w:p w:rsidR="0017725B" w:rsidRDefault="004B3EFA" w:rsidP="00161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3EFA" w:rsidP="00161F81">
            <w:pPr>
              <w:rPr>
                <w:b/>
                <w:u w:val="single"/>
              </w:rPr>
            </w:pPr>
          </w:p>
          <w:p w:rsidR="00F87CC0" w:rsidRPr="00F87CC0" w:rsidRDefault="004B3EFA" w:rsidP="00161F8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4B3EFA" w:rsidP="00161F81">
            <w:pPr>
              <w:rPr>
                <w:b/>
                <w:u w:val="single"/>
              </w:rPr>
            </w:pPr>
          </w:p>
        </w:tc>
      </w:tr>
      <w:tr w:rsidR="003C125B" w:rsidTr="00345119">
        <w:tc>
          <w:tcPr>
            <w:tcW w:w="9576" w:type="dxa"/>
          </w:tcPr>
          <w:p w:rsidR="008423E4" w:rsidRPr="00A8133F" w:rsidRDefault="004B3EFA" w:rsidP="00161F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3EFA" w:rsidP="00161F81"/>
          <w:p w:rsidR="00F87CC0" w:rsidRDefault="004B3EFA" w:rsidP="00161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B3EFA" w:rsidP="00161F81">
            <w:pPr>
              <w:rPr>
                <w:b/>
              </w:rPr>
            </w:pPr>
          </w:p>
        </w:tc>
      </w:tr>
      <w:tr w:rsidR="003C125B" w:rsidTr="00345119">
        <w:tc>
          <w:tcPr>
            <w:tcW w:w="9576" w:type="dxa"/>
          </w:tcPr>
          <w:p w:rsidR="008423E4" w:rsidRPr="00A8133F" w:rsidRDefault="004B3EFA" w:rsidP="00161F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3EFA" w:rsidP="00161F81"/>
          <w:p w:rsidR="00182BE2" w:rsidRDefault="004B3EFA" w:rsidP="00161F81">
            <w:pPr>
              <w:pStyle w:val="Header"/>
              <w:jc w:val="both"/>
            </w:pPr>
            <w:r>
              <w:t>S.B. 1689</w:t>
            </w:r>
            <w:r>
              <w:t xml:space="preserve"> amends the Local Government Code to authorize two </w:t>
            </w:r>
            <w:r w:rsidRPr="00DB31C7">
              <w:t xml:space="preserve">or more sponsors </w:t>
            </w:r>
            <w:r>
              <w:t>to</w:t>
            </w:r>
            <w:r w:rsidRPr="00DB31C7">
              <w:t xml:space="preserve"> create a corporation under </w:t>
            </w:r>
            <w:r>
              <w:t>the Public Facility Corporation Act</w:t>
            </w:r>
            <w:r w:rsidRPr="00DB31C7">
              <w:t xml:space="preserve"> to accomplish the corporation's purposes with respect to each of the sponsors.</w:t>
            </w:r>
            <w:r>
              <w:t xml:space="preserve"> The bill requires the </w:t>
            </w:r>
            <w:r w:rsidRPr="00DB31C7">
              <w:t>governing bo</w:t>
            </w:r>
            <w:r w:rsidRPr="00DB31C7">
              <w:t xml:space="preserve">dy of each sponsor </w:t>
            </w:r>
            <w:r>
              <w:t>to</w:t>
            </w:r>
            <w:r w:rsidRPr="00DB31C7">
              <w:t xml:space="preserve"> follow the procedures described by </w:t>
            </w:r>
            <w:r>
              <w:t>that act</w:t>
            </w:r>
            <w:r w:rsidRPr="00DB31C7">
              <w:t xml:space="preserve"> to create the corporation.</w:t>
            </w:r>
            <w:r>
              <w:t xml:space="preserve"> The bill authorizes the articles of incorporation or the bylaws of the corporation to provide any terms that are mutually acceptable to the corporation's sponsors.</w:t>
            </w:r>
            <w:r>
              <w:t xml:space="preserve"> The bill, subject </w:t>
            </w:r>
            <w:r w:rsidRPr="00DB31C7">
              <w:t>to the terms of the corporation's articles of incorporation and bylaws,</w:t>
            </w:r>
            <w:r>
              <w:t xml:space="preserve"> </w:t>
            </w:r>
            <w:r>
              <w:t>does the following:</w:t>
            </w:r>
          </w:p>
          <w:p w:rsidR="00182BE2" w:rsidRDefault="004B3EFA" w:rsidP="00161F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authorizes </w:t>
            </w:r>
            <w:r>
              <w:t xml:space="preserve">each sponsor </w:t>
            </w:r>
            <w:r>
              <w:t>to</w:t>
            </w:r>
            <w:r>
              <w:t xml:space="preserve"> use the corporation in any manner in which a sponsor may use a corporation under the Public Facility Corporation Act;</w:t>
            </w:r>
          </w:p>
          <w:p w:rsidR="00182BE2" w:rsidRDefault="004B3EFA" w:rsidP="00161F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establishes that </w:t>
            </w:r>
            <w:r>
              <w:t xml:space="preserve">each sponsor is treated for purposes of that act as a sponsor of the corporation; </w:t>
            </w:r>
          </w:p>
          <w:p w:rsidR="00182BE2" w:rsidRDefault="004B3EFA" w:rsidP="00161F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authorizes </w:t>
            </w:r>
            <w:r>
              <w:t xml:space="preserve">the corporation </w:t>
            </w:r>
            <w:r>
              <w:t>to</w:t>
            </w:r>
            <w:r>
              <w:t xml:space="preserve"> issue bonds or refunding bonds or </w:t>
            </w:r>
            <w:r>
              <w:t xml:space="preserve">to </w:t>
            </w:r>
            <w:r>
              <w:t>incur other obligations to finance, refinance, or provide one or more public facilities o</w:t>
            </w:r>
            <w:r>
              <w:t xml:space="preserve">n behalf of one or more of the corporation's sponsors; and </w:t>
            </w:r>
          </w:p>
          <w:p w:rsidR="008423E4" w:rsidRDefault="004B3EFA" w:rsidP="000D482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authorizes </w:t>
            </w:r>
            <w:r>
              <w:t xml:space="preserve">the corporation </w:t>
            </w:r>
            <w:r>
              <w:t>to</w:t>
            </w:r>
            <w:r>
              <w:t xml:space="preserve"> loan the proceeds of an obligation to any entity to accomplish the purposes of one or more of the corporation's sponsors. </w:t>
            </w:r>
          </w:p>
          <w:p w:rsidR="008423E4" w:rsidRPr="00835628" w:rsidRDefault="004B3EFA" w:rsidP="00161F81">
            <w:pPr>
              <w:rPr>
                <w:b/>
              </w:rPr>
            </w:pPr>
          </w:p>
        </w:tc>
      </w:tr>
      <w:tr w:rsidR="003C125B" w:rsidTr="00345119">
        <w:tc>
          <w:tcPr>
            <w:tcW w:w="9576" w:type="dxa"/>
          </w:tcPr>
          <w:p w:rsidR="008423E4" w:rsidRPr="00A8133F" w:rsidRDefault="004B3EFA" w:rsidP="00161F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3EFA" w:rsidP="00161F81"/>
          <w:p w:rsidR="008423E4" w:rsidRPr="00233FDB" w:rsidRDefault="004B3EFA" w:rsidP="000D48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0D482D" w:rsidRDefault="004B3EF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D482D" w:rsidRDefault="004B3EFA" w:rsidP="008423E4">
      <w:pPr>
        <w:rPr>
          <w:sz w:val="2"/>
          <w:szCs w:val="2"/>
        </w:rPr>
      </w:pPr>
    </w:p>
    <w:sectPr w:rsidR="004108C3" w:rsidRPr="000D482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EFA">
      <w:r>
        <w:separator/>
      </w:r>
    </w:p>
  </w:endnote>
  <w:endnote w:type="continuationSeparator" w:id="0">
    <w:p w:rsidR="00000000" w:rsidRDefault="004B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125B" w:rsidTr="009C1E9A">
      <w:trPr>
        <w:cantSplit/>
      </w:trPr>
      <w:tc>
        <w:tcPr>
          <w:tcW w:w="0" w:type="pct"/>
        </w:tcPr>
        <w:p w:rsidR="00137D90" w:rsidRDefault="004B3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3E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3E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3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3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25B" w:rsidTr="009C1E9A">
      <w:trPr>
        <w:cantSplit/>
      </w:trPr>
      <w:tc>
        <w:tcPr>
          <w:tcW w:w="0" w:type="pct"/>
        </w:tcPr>
        <w:p w:rsidR="00EC379B" w:rsidRDefault="004B3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3E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34069</w:t>
          </w:r>
        </w:p>
      </w:tc>
      <w:tc>
        <w:tcPr>
          <w:tcW w:w="2453" w:type="pct"/>
        </w:tcPr>
        <w:p w:rsidR="00EC379B" w:rsidRDefault="004B3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19.134.959</w:t>
          </w:r>
          <w:r>
            <w:fldChar w:fldCharType="end"/>
          </w:r>
        </w:p>
      </w:tc>
    </w:tr>
    <w:tr w:rsidR="003C125B" w:rsidTr="009C1E9A">
      <w:trPr>
        <w:cantSplit/>
      </w:trPr>
      <w:tc>
        <w:tcPr>
          <w:tcW w:w="0" w:type="pct"/>
        </w:tcPr>
        <w:p w:rsidR="00EC379B" w:rsidRDefault="004B3E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3E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3EFA" w:rsidP="006D504F">
          <w:pPr>
            <w:pStyle w:val="Footer"/>
            <w:rPr>
              <w:rStyle w:val="PageNumber"/>
            </w:rPr>
          </w:pPr>
        </w:p>
        <w:p w:rsidR="00EC379B" w:rsidRDefault="004B3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2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3E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3E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3E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EFA">
      <w:r>
        <w:separator/>
      </w:r>
    </w:p>
  </w:footnote>
  <w:footnote w:type="continuationSeparator" w:id="0">
    <w:p w:rsidR="00000000" w:rsidRDefault="004B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BD5"/>
    <w:multiLevelType w:val="hybridMultilevel"/>
    <w:tmpl w:val="F0D6FFF4"/>
    <w:lvl w:ilvl="0" w:tplc="98B49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45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8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C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E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4B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8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44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44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5B"/>
    <w:rsid w:val="003C125B"/>
    <w:rsid w:val="004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456FF-22C8-4C9B-B69C-DB48081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31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1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2133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SB01689 (Committee Report (Unamended))</vt:lpstr>
    </vt:vector>
  </TitlesOfParts>
  <Company>State of Texas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34069</dc:subject>
  <dc:creator>State of Texas</dc:creator>
  <dc:description>SB 1689 by West-(H)Pensions, Investments &amp; Financial Services</dc:description>
  <cp:lastModifiedBy>Scotty Wimberley</cp:lastModifiedBy>
  <cp:revision>2</cp:revision>
  <cp:lastPrinted>2003-11-26T17:21:00Z</cp:lastPrinted>
  <dcterms:created xsi:type="dcterms:W3CDTF">2019-05-17T18:34:00Z</dcterms:created>
  <dcterms:modified xsi:type="dcterms:W3CDTF">2019-05-17T18:34:00Z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19.134.959</vt:lpwstr>
  </property>
</Properties>
</file>