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C3604" w:rsidTr="00345119">
        <w:tc>
          <w:tcPr>
            <w:tcW w:w="9576" w:type="dxa"/>
            <w:noWrap/>
          </w:tcPr>
          <w:p w:rsidR="008423E4" w:rsidRPr="0022177D" w:rsidRDefault="00370A87" w:rsidP="00345119">
            <w:pPr>
              <w:pStyle w:val="Heading1"/>
            </w:pPr>
            <w:bookmarkStart w:id="0" w:name="_GoBack"/>
            <w:bookmarkEnd w:id="0"/>
            <w:r w:rsidRPr="00631897">
              <w:t>BILL ANALYSIS</w:t>
            </w:r>
          </w:p>
        </w:tc>
      </w:tr>
    </w:tbl>
    <w:p w:rsidR="008423E4" w:rsidRPr="0022177D" w:rsidRDefault="00370A87" w:rsidP="008423E4">
      <w:pPr>
        <w:jc w:val="center"/>
      </w:pPr>
    </w:p>
    <w:p w:rsidR="008423E4" w:rsidRPr="00B31F0E" w:rsidRDefault="00370A87" w:rsidP="008423E4"/>
    <w:p w:rsidR="008423E4" w:rsidRPr="00742794" w:rsidRDefault="00370A87" w:rsidP="008423E4">
      <w:pPr>
        <w:tabs>
          <w:tab w:val="right" w:pos="9360"/>
        </w:tabs>
      </w:pPr>
    </w:p>
    <w:tbl>
      <w:tblPr>
        <w:tblW w:w="0" w:type="auto"/>
        <w:tblLayout w:type="fixed"/>
        <w:tblLook w:val="01E0" w:firstRow="1" w:lastRow="1" w:firstColumn="1" w:lastColumn="1" w:noHBand="0" w:noVBand="0"/>
      </w:tblPr>
      <w:tblGrid>
        <w:gridCol w:w="9576"/>
      </w:tblGrid>
      <w:tr w:rsidR="00CC3604" w:rsidTr="00345119">
        <w:tc>
          <w:tcPr>
            <w:tcW w:w="9576" w:type="dxa"/>
          </w:tcPr>
          <w:p w:rsidR="008423E4" w:rsidRPr="00861995" w:rsidRDefault="00370A87" w:rsidP="00345119">
            <w:pPr>
              <w:jc w:val="right"/>
            </w:pPr>
            <w:r>
              <w:t>S.B. 1783</w:t>
            </w:r>
          </w:p>
        </w:tc>
      </w:tr>
      <w:tr w:rsidR="00CC3604" w:rsidTr="00345119">
        <w:tc>
          <w:tcPr>
            <w:tcW w:w="9576" w:type="dxa"/>
          </w:tcPr>
          <w:p w:rsidR="008423E4" w:rsidRPr="00861995" w:rsidRDefault="00370A87" w:rsidP="00345119">
            <w:pPr>
              <w:jc w:val="right"/>
            </w:pPr>
            <w:r>
              <w:t xml:space="preserve">By: </w:t>
            </w:r>
            <w:r>
              <w:t>Zaffirini</w:t>
            </w:r>
          </w:p>
        </w:tc>
      </w:tr>
      <w:tr w:rsidR="00CC3604" w:rsidTr="00345119">
        <w:tc>
          <w:tcPr>
            <w:tcW w:w="9576" w:type="dxa"/>
          </w:tcPr>
          <w:p w:rsidR="008423E4" w:rsidRPr="00861995" w:rsidRDefault="00370A87" w:rsidP="00345119">
            <w:pPr>
              <w:jc w:val="right"/>
            </w:pPr>
            <w:r>
              <w:t>Judiciary &amp; Civil Jurisprudence</w:t>
            </w:r>
          </w:p>
        </w:tc>
      </w:tr>
      <w:tr w:rsidR="00CC3604" w:rsidTr="00345119">
        <w:tc>
          <w:tcPr>
            <w:tcW w:w="9576" w:type="dxa"/>
          </w:tcPr>
          <w:p w:rsidR="008423E4" w:rsidRDefault="00370A87" w:rsidP="00345119">
            <w:pPr>
              <w:jc w:val="right"/>
            </w:pPr>
            <w:r>
              <w:t>Committee Report (Unamended)</w:t>
            </w:r>
          </w:p>
        </w:tc>
      </w:tr>
    </w:tbl>
    <w:p w:rsidR="008423E4" w:rsidRDefault="00370A87" w:rsidP="008423E4">
      <w:pPr>
        <w:tabs>
          <w:tab w:val="right" w:pos="9360"/>
        </w:tabs>
      </w:pPr>
    </w:p>
    <w:p w:rsidR="008423E4" w:rsidRDefault="00370A87" w:rsidP="008423E4"/>
    <w:p w:rsidR="008423E4" w:rsidRDefault="00370A87" w:rsidP="008423E4"/>
    <w:tbl>
      <w:tblPr>
        <w:tblW w:w="0" w:type="auto"/>
        <w:tblCellMar>
          <w:left w:w="115" w:type="dxa"/>
          <w:right w:w="115" w:type="dxa"/>
        </w:tblCellMar>
        <w:tblLook w:val="01E0" w:firstRow="1" w:lastRow="1" w:firstColumn="1" w:lastColumn="1" w:noHBand="0" w:noVBand="0"/>
      </w:tblPr>
      <w:tblGrid>
        <w:gridCol w:w="9360"/>
      </w:tblGrid>
      <w:tr w:rsidR="00CC3604" w:rsidTr="00345119">
        <w:tc>
          <w:tcPr>
            <w:tcW w:w="9576" w:type="dxa"/>
          </w:tcPr>
          <w:p w:rsidR="008423E4" w:rsidRPr="00A8133F" w:rsidRDefault="00370A87" w:rsidP="00AA30DD">
            <w:pPr>
              <w:rPr>
                <w:b/>
              </w:rPr>
            </w:pPr>
            <w:r w:rsidRPr="009C1E9A">
              <w:rPr>
                <w:b/>
                <w:u w:val="single"/>
              </w:rPr>
              <w:t>BACKGROUND AND PURPOSE</w:t>
            </w:r>
            <w:r>
              <w:rPr>
                <w:b/>
              </w:rPr>
              <w:t xml:space="preserve"> </w:t>
            </w:r>
          </w:p>
          <w:p w:rsidR="008423E4" w:rsidRDefault="00370A87" w:rsidP="00AA30DD"/>
          <w:p w:rsidR="008423E4" w:rsidRDefault="00370A87" w:rsidP="00AA30DD">
            <w:pPr>
              <w:pStyle w:val="Header"/>
              <w:jc w:val="both"/>
            </w:pPr>
            <w:r>
              <w:t>It has been suggested that, i</w:t>
            </w:r>
            <w:r>
              <w:t xml:space="preserve">f supports and services or alternatives to guardianship allow a person with an incapacity </w:t>
            </w:r>
            <w:r>
              <w:t>to live independently, a guardianship may not be necessary</w:t>
            </w:r>
            <w:r>
              <w:t xml:space="preserve"> and </w:t>
            </w:r>
            <w:r>
              <w:t xml:space="preserve">the guardianship should be terminated on a finding that the alternative will meet the person's needs without continued court involvement. S.B. 1783 </w:t>
            </w:r>
            <w:r>
              <w:t xml:space="preserve">seeks to address this issue by </w:t>
            </w:r>
            <w:r>
              <w:t>provid</w:t>
            </w:r>
            <w:r>
              <w:t xml:space="preserve">ing for </w:t>
            </w:r>
            <w:r>
              <w:t>the termination of guardianship on the finding that the ward's incapacity needs can be man</w:t>
            </w:r>
            <w:r>
              <w:t>a</w:t>
            </w:r>
            <w:r>
              <w:t>ged without guardianship</w:t>
            </w:r>
            <w:r>
              <w:t>.</w:t>
            </w:r>
          </w:p>
          <w:p w:rsidR="008423E4" w:rsidRPr="00E26B13" w:rsidRDefault="00370A87" w:rsidP="00AA30DD">
            <w:pPr>
              <w:rPr>
                <w:b/>
              </w:rPr>
            </w:pPr>
          </w:p>
        </w:tc>
      </w:tr>
      <w:tr w:rsidR="00CC3604" w:rsidTr="00345119">
        <w:tc>
          <w:tcPr>
            <w:tcW w:w="9576" w:type="dxa"/>
          </w:tcPr>
          <w:p w:rsidR="0017725B" w:rsidRDefault="00370A87" w:rsidP="00AA30DD">
            <w:pPr>
              <w:rPr>
                <w:b/>
                <w:u w:val="single"/>
              </w:rPr>
            </w:pPr>
            <w:r>
              <w:rPr>
                <w:b/>
                <w:u w:val="single"/>
              </w:rPr>
              <w:t>CRIMINAL JUSTICE IMPACT</w:t>
            </w:r>
          </w:p>
          <w:p w:rsidR="0017725B" w:rsidRDefault="00370A87" w:rsidP="00AA30DD">
            <w:pPr>
              <w:rPr>
                <w:b/>
                <w:u w:val="single"/>
              </w:rPr>
            </w:pPr>
          </w:p>
          <w:p w:rsidR="001C6072" w:rsidRPr="001C6072" w:rsidRDefault="00370A87" w:rsidP="00AA30DD">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370A87" w:rsidP="00AA30DD">
            <w:pPr>
              <w:rPr>
                <w:b/>
                <w:u w:val="single"/>
              </w:rPr>
            </w:pPr>
          </w:p>
        </w:tc>
      </w:tr>
      <w:tr w:rsidR="00CC3604" w:rsidTr="00345119">
        <w:tc>
          <w:tcPr>
            <w:tcW w:w="9576" w:type="dxa"/>
          </w:tcPr>
          <w:p w:rsidR="008423E4" w:rsidRPr="00A8133F" w:rsidRDefault="00370A87" w:rsidP="00AA30DD">
            <w:pPr>
              <w:rPr>
                <w:b/>
              </w:rPr>
            </w:pPr>
            <w:r w:rsidRPr="009C1E9A">
              <w:rPr>
                <w:b/>
                <w:u w:val="single"/>
              </w:rPr>
              <w:t>RULEMAKING AUTHORITY</w:t>
            </w:r>
            <w:r>
              <w:rPr>
                <w:b/>
              </w:rPr>
              <w:t xml:space="preserve"> </w:t>
            </w:r>
          </w:p>
          <w:p w:rsidR="008423E4" w:rsidRDefault="00370A87" w:rsidP="00AA30DD"/>
          <w:p w:rsidR="001C6072" w:rsidRDefault="00370A87" w:rsidP="00AA30DD">
            <w:pPr>
              <w:pStyle w:val="Header"/>
              <w:tabs>
                <w:tab w:val="clear" w:pos="4320"/>
                <w:tab w:val="clear" w:pos="8640"/>
              </w:tabs>
              <w:jc w:val="both"/>
            </w:pPr>
            <w:r>
              <w:t>It is the committee's opinion that rulemaking authority is expressly gr</w:t>
            </w:r>
            <w:r>
              <w:t xml:space="preserve">anted to the </w:t>
            </w:r>
            <w:r w:rsidRPr="001C6072">
              <w:t>Office of Court Administrati</w:t>
            </w:r>
            <w:r>
              <w:t>on of the Texas Judicial System in SECTION 7 of this bill.</w:t>
            </w:r>
          </w:p>
          <w:p w:rsidR="008423E4" w:rsidRPr="00E21FDC" w:rsidRDefault="00370A87" w:rsidP="00AA30DD">
            <w:pPr>
              <w:rPr>
                <w:b/>
              </w:rPr>
            </w:pPr>
          </w:p>
        </w:tc>
      </w:tr>
      <w:tr w:rsidR="00CC3604" w:rsidTr="00345119">
        <w:tc>
          <w:tcPr>
            <w:tcW w:w="9576" w:type="dxa"/>
          </w:tcPr>
          <w:p w:rsidR="008423E4" w:rsidRPr="00A8133F" w:rsidRDefault="00370A87" w:rsidP="00AA30DD">
            <w:pPr>
              <w:rPr>
                <w:b/>
              </w:rPr>
            </w:pPr>
            <w:r w:rsidRPr="009C1E9A">
              <w:rPr>
                <w:b/>
                <w:u w:val="single"/>
              </w:rPr>
              <w:t>ANALYSIS</w:t>
            </w:r>
            <w:r>
              <w:rPr>
                <w:b/>
              </w:rPr>
              <w:t xml:space="preserve"> </w:t>
            </w:r>
          </w:p>
          <w:p w:rsidR="008423E4" w:rsidRDefault="00370A87" w:rsidP="00AA30DD"/>
          <w:p w:rsidR="00BE5865" w:rsidRDefault="00370A87" w:rsidP="00AA30DD">
            <w:pPr>
              <w:pStyle w:val="Header"/>
              <w:tabs>
                <w:tab w:val="clear" w:pos="4320"/>
                <w:tab w:val="clear" w:pos="8640"/>
              </w:tabs>
              <w:jc w:val="both"/>
            </w:pPr>
            <w:r>
              <w:t>S.B. 1783 amends the Estates Code to</w:t>
            </w:r>
            <w:r>
              <w:t xml:space="preserve"> revise provisions under which a court determines whether to transfer guardianship of a ward from one county to another:</w:t>
            </w:r>
          </w:p>
          <w:p w:rsidR="00D9459F" w:rsidRDefault="00370A87" w:rsidP="00AA30DD">
            <w:pPr>
              <w:pStyle w:val="Header"/>
              <w:numPr>
                <w:ilvl w:val="0"/>
                <w:numId w:val="3"/>
              </w:numPr>
              <w:tabs>
                <w:tab w:val="clear" w:pos="4320"/>
                <w:tab w:val="clear" w:pos="8640"/>
              </w:tabs>
              <w:spacing w:before="120" w:after="120"/>
              <w:jc w:val="both"/>
            </w:pPr>
            <w:r>
              <w:t>to include among the court</w:t>
            </w:r>
            <w:r>
              <w:t>'</w:t>
            </w:r>
            <w:r>
              <w:t>s required findings</w:t>
            </w:r>
            <w:r>
              <w:t xml:space="preserve"> to warrant transfer</w:t>
            </w:r>
            <w:r>
              <w:t xml:space="preserve"> that the ward has resided in the county to which the guardianship is</w:t>
            </w:r>
            <w:r>
              <w:t xml:space="preserve"> to be transferred for at least six months as an alternative to a lack of good cause to deny the transfer; and </w:t>
            </w:r>
          </w:p>
          <w:p w:rsidR="00D9459F" w:rsidRDefault="00370A87" w:rsidP="00AA30DD">
            <w:pPr>
              <w:pStyle w:val="Header"/>
              <w:numPr>
                <w:ilvl w:val="0"/>
                <w:numId w:val="3"/>
              </w:numPr>
              <w:tabs>
                <w:tab w:val="clear" w:pos="4320"/>
                <w:tab w:val="clear" w:pos="8640"/>
              </w:tabs>
              <w:spacing w:before="120" w:after="120"/>
              <w:jc w:val="both"/>
            </w:pPr>
            <w:r>
              <w:t xml:space="preserve">if the transfer is determined to be in the best interest of the ward, to include among the orders the court must enter an order </w:t>
            </w:r>
            <w:r>
              <w:t>certif</w:t>
            </w:r>
            <w:r>
              <w:t xml:space="preserve">ying </w:t>
            </w:r>
            <w:r>
              <w:t xml:space="preserve">that </w:t>
            </w:r>
            <w:r>
              <w:t xml:space="preserve">the guardianship is in compliance with the Estates Code at the time of transfer. </w:t>
            </w:r>
          </w:p>
          <w:p w:rsidR="008423E4" w:rsidRDefault="00370A87" w:rsidP="00AA30DD">
            <w:pPr>
              <w:pStyle w:val="Header"/>
              <w:tabs>
                <w:tab w:val="clear" w:pos="4320"/>
                <w:tab w:val="clear" w:pos="8640"/>
              </w:tabs>
              <w:jc w:val="both"/>
            </w:pPr>
            <w:r>
              <w:t xml:space="preserve">The bill authorizes the court, in making a determination that </w:t>
            </w:r>
            <w:r>
              <w:t>the</w:t>
            </w:r>
            <w:r>
              <w:t xml:space="preserve"> transfer is in the best interests of a ward, </w:t>
            </w:r>
            <w:r>
              <w:t xml:space="preserve">to consider </w:t>
            </w:r>
            <w:r>
              <w:t>the interests of justice, the convenience of the pa</w:t>
            </w:r>
            <w:r>
              <w:t>rties, an</w:t>
            </w:r>
            <w:r>
              <w:t xml:space="preserve">d, if the ward is 12 years of age or older, </w:t>
            </w:r>
            <w:r>
              <w:t xml:space="preserve">the preference of the ward. The bill requires a county, on receipt of </w:t>
            </w:r>
            <w:r>
              <w:t>a transfer</w:t>
            </w:r>
            <w:r>
              <w:t xml:space="preserve"> order, to accept the transfer of the guardianship.</w:t>
            </w:r>
          </w:p>
          <w:p w:rsidR="00E21B5D" w:rsidRDefault="00370A87" w:rsidP="00AA30DD">
            <w:pPr>
              <w:pStyle w:val="Header"/>
              <w:tabs>
                <w:tab w:val="clear" w:pos="4320"/>
                <w:tab w:val="clear" w:pos="8640"/>
              </w:tabs>
              <w:jc w:val="both"/>
            </w:pPr>
          </w:p>
          <w:p w:rsidR="002E2F4F" w:rsidRDefault="00370A87" w:rsidP="00AA30DD">
            <w:pPr>
              <w:pStyle w:val="Header"/>
              <w:tabs>
                <w:tab w:val="clear" w:pos="4320"/>
                <w:tab w:val="clear" w:pos="8640"/>
              </w:tabs>
              <w:jc w:val="both"/>
            </w:pPr>
            <w:r>
              <w:t>S.B. 1783</w:t>
            </w:r>
            <w:r>
              <w:t xml:space="preserve"> </w:t>
            </w:r>
            <w:r>
              <w:t>establishes the following when a guardianship is transferred</w:t>
            </w:r>
            <w:r>
              <w:t xml:space="preserve"> from one county to another</w:t>
            </w:r>
            <w:r>
              <w:t>:</w:t>
            </w:r>
          </w:p>
          <w:p w:rsidR="002E2F4F" w:rsidRDefault="00370A87" w:rsidP="00AA30DD">
            <w:pPr>
              <w:pStyle w:val="Header"/>
              <w:numPr>
                <w:ilvl w:val="0"/>
                <w:numId w:val="1"/>
              </w:numPr>
              <w:tabs>
                <w:tab w:val="clear" w:pos="4320"/>
                <w:tab w:val="clear" w:pos="8640"/>
              </w:tabs>
              <w:spacing w:before="120" w:after="120"/>
              <w:jc w:val="both"/>
            </w:pPr>
            <w:r>
              <w:t>the court to which a guardianship is transferred becomes the court of continuing, exclusive jurisdiction;</w:t>
            </w:r>
          </w:p>
          <w:p w:rsidR="002E2F4F" w:rsidRDefault="00370A87" w:rsidP="00AA30DD">
            <w:pPr>
              <w:pStyle w:val="Header"/>
              <w:numPr>
                <w:ilvl w:val="0"/>
                <w:numId w:val="1"/>
              </w:numPr>
              <w:tabs>
                <w:tab w:val="clear" w:pos="4320"/>
                <w:tab w:val="clear" w:pos="8640"/>
              </w:tabs>
              <w:spacing w:before="120" w:after="120"/>
              <w:jc w:val="both"/>
            </w:pPr>
            <w:r>
              <w:t>a</w:t>
            </w:r>
            <w:r>
              <w:t xml:space="preserve"> proceeding</w:t>
            </w:r>
            <w:r>
              <w:t xml:space="preserve"> relating to the guardianship that is commenced in the court ordering the transfer continues in the court to </w:t>
            </w:r>
            <w:r>
              <w:t>which the guardianship is transferred as if the proceeding commenced in the receiving court;</w:t>
            </w:r>
            <w:r>
              <w:t xml:space="preserve"> </w:t>
            </w:r>
          </w:p>
          <w:p w:rsidR="00B11690" w:rsidRDefault="00370A87" w:rsidP="00AA30DD">
            <w:pPr>
              <w:pStyle w:val="Header"/>
              <w:numPr>
                <w:ilvl w:val="0"/>
                <w:numId w:val="1"/>
              </w:numPr>
              <w:tabs>
                <w:tab w:val="clear" w:pos="4320"/>
                <w:tab w:val="clear" w:pos="8640"/>
              </w:tabs>
              <w:spacing w:before="120" w:after="120"/>
              <w:jc w:val="both"/>
            </w:pPr>
            <w:r>
              <w:t xml:space="preserve">a </w:t>
            </w:r>
            <w:r>
              <w:t>judgment</w:t>
            </w:r>
            <w:r>
              <w:t xml:space="preserve"> or order entered in the guardianship before the transfer has the same effect and must be enforced as a judgment or order entered by the court to which </w:t>
            </w:r>
            <w:r>
              <w:t>the guardianship is transferred; and</w:t>
            </w:r>
            <w:r>
              <w:t xml:space="preserve"> </w:t>
            </w:r>
          </w:p>
          <w:p w:rsidR="004040AD" w:rsidRDefault="00370A87" w:rsidP="00AA30DD">
            <w:pPr>
              <w:pStyle w:val="Header"/>
              <w:numPr>
                <w:ilvl w:val="0"/>
                <w:numId w:val="1"/>
              </w:numPr>
              <w:tabs>
                <w:tab w:val="clear" w:pos="4320"/>
                <w:tab w:val="clear" w:pos="8640"/>
              </w:tabs>
              <w:spacing w:before="120" w:after="120"/>
              <w:jc w:val="both"/>
            </w:pPr>
            <w:r>
              <w:t>the court ordering the transfer does not retain:</w:t>
            </w:r>
          </w:p>
          <w:p w:rsidR="004040AD" w:rsidRDefault="00370A87" w:rsidP="00AA30DD">
            <w:pPr>
              <w:pStyle w:val="Header"/>
              <w:numPr>
                <w:ilvl w:val="1"/>
                <w:numId w:val="1"/>
              </w:numPr>
              <w:tabs>
                <w:tab w:val="clear" w:pos="4320"/>
                <w:tab w:val="clear" w:pos="8640"/>
              </w:tabs>
              <w:spacing w:before="120" w:after="120"/>
              <w:jc w:val="both"/>
            </w:pPr>
            <w:r>
              <w:t xml:space="preserve">jurisdiction of the ward who is the subject of the guardianship; </w:t>
            </w:r>
            <w:r>
              <w:t>and</w:t>
            </w:r>
            <w:r>
              <w:t xml:space="preserve"> </w:t>
            </w:r>
          </w:p>
          <w:p w:rsidR="00B11690" w:rsidRDefault="00370A87" w:rsidP="00AA30DD">
            <w:pPr>
              <w:pStyle w:val="Header"/>
              <w:numPr>
                <w:ilvl w:val="1"/>
                <w:numId w:val="1"/>
              </w:numPr>
              <w:tabs>
                <w:tab w:val="clear" w:pos="4320"/>
                <w:tab w:val="clear" w:pos="8640"/>
              </w:tabs>
              <w:spacing w:before="120" w:after="120"/>
              <w:jc w:val="both"/>
            </w:pPr>
            <w:r>
              <w:t>the authority to enforce an order entered for a violation of provisions relating to guardianship an</w:t>
            </w:r>
            <w:r>
              <w:t>d related procedures that occurre</w:t>
            </w:r>
            <w:r>
              <w:t>d before or after the transfer.</w:t>
            </w:r>
            <w:r>
              <w:t xml:space="preserve"> </w:t>
            </w:r>
          </w:p>
          <w:p w:rsidR="00B11690" w:rsidRDefault="00370A87" w:rsidP="00AA30DD">
            <w:pPr>
              <w:pStyle w:val="Header"/>
              <w:tabs>
                <w:tab w:val="clear" w:pos="4320"/>
                <w:tab w:val="clear" w:pos="8640"/>
              </w:tabs>
              <w:jc w:val="both"/>
            </w:pPr>
          </w:p>
          <w:p w:rsidR="002F7338" w:rsidRDefault="00370A87" w:rsidP="00AA30DD">
            <w:pPr>
              <w:pStyle w:val="Header"/>
              <w:tabs>
                <w:tab w:val="clear" w:pos="4320"/>
                <w:tab w:val="clear" w:pos="8640"/>
              </w:tabs>
              <w:jc w:val="both"/>
            </w:pPr>
            <w:r>
              <w:t xml:space="preserve">S.B. 1783 </w:t>
            </w:r>
            <w:r>
              <w:t>exempts</w:t>
            </w:r>
            <w:r>
              <w:t xml:space="preserve"> a judge of the court from which a guardianship is transferred from </w:t>
            </w:r>
            <w:r>
              <w:t>civil liability</w:t>
            </w:r>
            <w:r>
              <w:t xml:space="preserve"> for any injury, damage, or loss to the ward or the ward's estate </w:t>
            </w:r>
            <w:r>
              <w:t xml:space="preserve">that occurs after the transfer and exempts a judge of the court to which a guardianship is transferred from civil liability for any such loss that occurred before the transfer. </w:t>
            </w:r>
          </w:p>
          <w:p w:rsidR="00865A67" w:rsidRDefault="00370A87" w:rsidP="00AA30DD">
            <w:pPr>
              <w:pStyle w:val="Header"/>
              <w:tabs>
                <w:tab w:val="clear" w:pos="4320"/>
                <w:tab w:val="clear" w:pos="8640"/>
              </w:tabs>
              <w:jc w:val="both"/>
            </w:pPr>
          </w:p>
          <w:p w:rsidR="00992386" w:rsidRDefault="00370A87" w:rsidP="00AA30DD">
            <w:pPr>
              <w:pStyle w:val="Header"/>
              <w:tabs>
                <w:tab w:val="clear" w:pos="4320"/>
                <w:tab w:val="clear" w:pos="8640"/>
              </w:tabs>
              <w:spacing w:before="120" w:after="120"/>
              <w:jc w:val="both"/>
            </w:pPr>
            <w:r>
              <w:t xml:space="preserve">S.B. 1783 </w:t>
            </w:r>
            <w:r>
              <w:t>establis</w:t>
            </w:r>
            <w:r>
              <w:t xml:space="preserve">hes </w:t>
            </w:r>
            <w:r>
              <w:t>the following</w:t>
            </w:r>
            <w:r>
              <w:t xml:space="preserve">, if </w:t>
            </w:r>
            <w:r>
              <w:t>a court refers a contested guardianship proceeding regarding the appointment of a guardian for a proposed ward to mediation</w:t>
            </w:r>
            <w:r>
              <w:t>:</w:t>
            </w:r>
          </w:p>
          <w:p w:rsidR="00992386" w:rsidRDefault="00370A87" w:rsidP="00AA30DD">
            <w:pPr>
              <w:pStyle w:val="Header"/>
              <w:numPr>
                <w:ilvl w:val="0"/>
                <w:numId w:val="4"/>
              </w:numPr>
              <w:tabs>
                <w:tab w:val="clear" w:pos="4320"/>
                <w:tab w:val="clear" w:pos="8640"/>
              </w:tabs>
              <w:spacing w:before="120" w:after="120"/>
              <w:jc w:val="both"/>
            </w:pPr>
            <w:r>
              <w:t xml:space="preserve">a </w:t>
            </w:r>
            <w:r w:rsidRPr="00D3530D">
              <w:t>determination of incapacity of the proposed ward may be an issue to be mediated, but the applicant for guardianship must still pr</w:t>
            </w:r>
            <w:r w:rsidRPr="00D3530D">
              <w:t>ove to the court that the proposed ward is an incapacitated person in accordance with the requirements</w:t>
            </w:r>
            <w:r>
              <w:t xml:space="preserve"> </w:t>
            </w:r>
            <w:r>
              <w:t>of the general procedure to appoint a guardian</w:t>
            </w:r>
            <w:r>
              <w:t>;</w:t>
            </w:r>
            <w:r>
              <w:t xml:space="preserve"> </w:t>
            </w:r>
            <w:r>
              <w:t>and</w:t>
            </w:r>
          </w:p>
          <w:p w:rsidR="00992386" w:rsidRDefault="00370A87" w:rsidP="00AA30DD">
            <w:pPr>
              <w:pStyle w:val="Header"/>
              <w:numPr>
                <w:ilvl w:val="0"/>
                <w:numId w:val="4"/>
              </w:numPr>
              <w:tabs>
                <w:tab w:val="clear" w:pos="4320"/>
                <w:tab w:val="clear" w:pos="8640"/>
              </w:tabs>
              <w:spacing w:before="120" w:after="120"/>
              <w:jc w:val="both"/>
            </w:pPr>
            <w:r>
              <w:t xml:space="preserve">all parties to the proceeding are required to </w:t>
            </w:r>
            <w:r w:rsidRPr="00D3530D">
              <w:t>evaluate during the mediation alternatives to guardians</w:t>
            </w:r>
            <w:r w:rsidRPr="00D3530D">
              <w:t>hip and supports and services available to the proposed ward, including whether the supports and services and alternatives to guardianship would be feasible to avoid the need for appointment of a guardian.</w:t>
            </w:r>
            <w:r>
              <w:t xml:space="preserve"> </w:t>
            </w:r>
          </w:p>
          <w:p w:rsidR="00992386" w:rsidRDefault="00370A87" w:rsidP="00AA30DD">
            <w:pPr>
              <w:pStyle w:val="Header"/>
              <w:tabs>
                <w:tab w:val="clear" w:pos="4320"/>
                <w:tab w:val="clear" w:pos="8640"/>
              </w:tabs>
              <w:jc w:val="both"/>
            </w:pPr>
            <w:r>
              <w:t xml:space="preserve">The bill </w:t>
            </w:r>
            <w:r>
              <w:t xml:space="preserve">provides for the payment </w:t>
            </w:r>
            <w:r>
              <w:t>mediation</w:t>
            </w:r>
            <w:r>
              <w:t xml:space="preserve"> costs</w:t>
            </w:r>
            <w:r>
              <w:t xml:space="preserve"> and referral to a local alternative dispute resolution center and waiver of the mediation cost, under certain conditions</w:t>
            </w:r>
            <w:r>
              <w:t>.</w:t>
            </w:r>
            <w:r>
              <w:t xml:space="preserve"> </w:t>
            </w:r>
          </w:p>
          <w:p w:rsidR="00992386" w:rsidRDefault="00370A87" w:rsidP="00AA30DD">
            <w:pPr>
              <w:pStyle w:val="Header"/>
              <w:tabs>
                <w:tab w:val="clear" w:pos="4320"/>
                <w:tab w:val="clear" w:pos="8640"/>
              </w:tabs>
              <w:jc w:val="both"/>
            </w:pPr>
          </w:p>
          <w:p w:rsidR="00B11CCA" w:rsidRDefault="00370A87" w:rsidP="00AA30DD">
            <w:pPr>
              <w:pStyle w:val="Header"/>
              <w:tabs>
                <w:tab w:val="clear" w:pos="4320"/>
                <w:tab w:val="clear" w:pos="8640"/>
              </w:tabs>
              <w:jc w:val="both"/>
            </w:pPr>
            <w:r>
              <w:t xml:space="preserve">S.B. 1783 </w:t>
            </w:r>
            <w:r>
              <w:t xml:space="preserve">requires a guardianship of a person to be settled and closed when </w:t>
            </w:r>
            <w:r>
              <w:t>the</w:t>
            </w:r>
            <w:r>
              <w:t xml:space="preserve"> court finds that the ward's incapacity needs can be</w:t>
            </w:r>
            <w:r>
              <w:t xml:space="preserve"> managed without the necessity for that continued guardianship by an alternative to guardianship or</w:t>
            </w:r>
            <w:r>
              <w:t xml:space="preserve"> </w:t>
            </w:r>
            <w:r>
              <w:t>supports and services</w:t>
            </w:r>
            <w:r>
              <w:t xml:space="preserve"> as provided under the bill's provisions</w:t>
            </w:r>
            <w:r>
              <w:t xml:space="preserve">. </w:t>
            </w:r>
            <w:r>
              <w:t>The bill</w:t>
            </w:r>
            <w:r>
              <w:t xml:space="preserve"> authorizes a court, on application</w:t>
            </w:r>
            <w:r>
              <w:t xml:space="preserve"> by</w:t>
            </w:r>
            <w:r>
              <w:t xml:space="preserve"> a guardian</w:t>
            </w:r>
            <w:r>
              <w:t xml:space="preserve"> of </w:t>
            </w:r>
            <w:r>
              <w:t>the</w:t>
            </w:r>
            <w:r>
              <w:t xml:space="preserve"> person of a ward, a court in</w:t>
            </w:r>
            <w:r>
              <w:t>vestigator</w:t>
            </w:r>
            <w:r>
              <w:t xml:space="preserve"> or</w:t>
            </w:r>
            <w:r>
              <w:t xml:space="preserve"> guardian ad litem appointed by the court, or another person interested in the ward's welfare who has been granted permission by the court to intervene, or on the court's own motion</w:t>
            </w:r>
            <w:r>
              <w:t>, to order that the guardianship of the person of the ward ter</w:t>
            </w:r>
            <w:r>
              <w:t xml:space="preserve">minate and be settled and closed if the court makes </w:t>
            </w:r>
            <w:r>
              <w:t>the</w:t>
            </w:r>
            <w:r>
              <w:t xml:space="preserve"> findings </w:t>
            </w:r>
            <w:r>
              <w:t>required under the bill's provisions</w:t>
            </w:r>
            <w:r>
              <w:t xml:space="preserve">. The bill </w:t>
            </w:r>
            <w:r>
              <w:t xml:space="preserve">requires the court, before </w:t>
            </w:r>
            <w:r>
              <w:t xml:space="preserve">ordering the </w:t>
            </w:r>
            <w:r>
              <w:t>termination of a guardianship of the person, to find by a preponderance of evidence that</w:t>
            </w:r>
            <w:r>
              <w:t>:</w:t>
            </w:r>
          </w:p>
          <w:p w:rsidR="00B11CCA" w:rsidRDefault="00370A87" w:rsidP="00AA30DD">
            <w:pPr>
              <w:pStyle w:val="Header"/>
              <w:numPr>
                <w:ilvl w:val="0"/>
                <w:numId w:val="2"/>
              </w:numPr>
              <w:tabs>
                <w:tab w:val="clear" w:pos="4320"/>
                <w:tab w:val="clear" w:pos="8640"/>
              </w:tabs>
              <w:spacing w:before="120" w:after="120"/>
              <w:jc w:val="both"/>
            </w:pPr>
            <w:r w:rsidRPr="00B11CCA">
              <w:t>the ward remai</w:t>
            </w:r>
            <w:r w:rsidRPr="00B11CCA">
              <w:t>ns a partially or completely incapacitated person;</w:t>
            </w:r>
            <w:r>
              <w:t xml:space="preserve"> </w:t>
            </w:r>
          </w:p>
          <w:p w:rsidR="00B11CCA" w:rsidRDefault="00370A87" w:rsidP="00AA30DD">
            <w:pPr>
              <w:pStyle w:val="Header"/>
              <w:numPr>
                <w:ilvl w:val="0"/>
                <w:numId w:val="2"/>
              </w:numPr>
              <w:tabs>
                <w:tab w:val="clear" w:pos="4320"/>
                <w:tab w:val="clear" w:pos="8640"/>
              </w:tabs>
              <w:spacing w:before="120" w:after="120"/>
              <w:jc w:val="both"/>
            </w:pPr>
            <w:r w:rsidRPr="00B11CCA">
              <w:t>the current nature and degree of the ward's incapacity and the ward's needs can be managed without the necessity of a continued guardianship of the person by</w:t>
            </w:r>
            <w:r>
              <w:t xml:space="preserve"> </w:t>
            </w:r>
            <w:r w:rsidRPr="00B11CCA">
              <w:t>alternatives to guardianship that are availabl</w:t>
            </w:r>
            <w:r w:rsidRPr="00B11CCA">
              <w:t>e to the ward and that are determined to be feasible</w:t>
            </w:r>
            <w:r>
              <w:t xml:space="preserve"> or </w:t>
            </w:r>
            <w:r w:rsidRPr="00B11CCA">
              <w:t>supports and services that are available to the ward and that are determined to be feasible; and</w:t>
            </w:r>
          </w:p>
          <w:p w:rsidR="00B11CCA" w:rsidRDefault="00370A87" w:rsidP="00AA30DD">
            <w:pPr>
              <w:pStyle w:val="Header"/>
              <w:numPr>
                <w:ilvl w:val="0"/>
                <w:numId w:val="2"/>
              </w:numPr>
              <w:tabs>
                <w:tab w:val="clear" w:pos="4320"/>
                <w:tab w:val="clear" w:pos="8640"/>
              </w:tabs>
              <w:spacing w:before="120" w:after="120"/>
              <w:jc w:val="both"/>
            </w:pPr>
            <w:r w:rsidRPr="00B11CCA">
              <w:t>termination of the guardianship of the person</w:t>
            </w:r>
            <w:r>
              <w:t xml:space="preserve"> </w:t>
            </w:r>
            <w:r w:rsidRPr="00B11CCA">
              <w:t>is in the ward's best interest</w:t>
            </w:r>
            <w:r>
              <w:t xml:space="preserve"> and </w:t>
            </w:r>
            <w:r w:rsidRPr="00B11CCA">
              <w:t>will encourage the dev</w:t>
            </w:r>
            <w:r w:rsidRPr="00B11CCA">
              <w:t xml:space="preserve">elopment or maintenance of maximum self-reliance and independence in the ward. </w:t>
            </w:r>
            <w:r>
              <w:t xml:space="preserve">  </w:t>
            </w:r>
          </w:p>
          <w:p w:rsidR="005005C5" w:rsidRDefault="00370A87" w:rsidP="00AA30DD">
            <w:pPr>
              <w:pStyle w:val="Header"/>
              <w:tabs>
                <w:tab w:val="clear" w:pos="4320"/>
                <w:tab w:val="clear" w:pos="8640"/>
              </w:tabs>
              <w:spacing w:before="120" w:after="120"/>
              <w:jc w:val="both"/>
            </w:pPr>
            <w:r>
              <w:t>The bill sets out general requirements for a court</w:t>
            </w:r>
            <w:r>
              <w:t xml:space="preserve"> order</w:t>
            </w:r>
            <w:r>
              <w:t xml:space="preserve"> that terminates a guardianship. </w:t>
            </w:r>
            <w:r>
              <w:t>The bill authorizes a court to enter additional orders in the best interest of the wa</w:t>
            </w:r>
            <w:r>
              <w:t xml:space="preserve">rd, including requiring notice to interested persons or appointing an attorney ad litem or guardian ad litem, or both, for the ward. </w:t>
            </w:r>
          </w:p>
          <w:p w:rsidR="002A76BD" w:rsidRDefault="00370A87" w:rsidP="00AA30DD">
            <w:pPr>
              <w:pStyle w:val="Header"/>
              <w:tabs>
                <w:tab w:val="clear" w:pos="4320"/>
                <w:tab w:val="clear" w:pos="8640"/>
              </w:tabs>
              <w:jc w:val="both"/>
            </w:pPr>
          </w:p>
          <w:p w:rsidR="00800E48" w:rsidRDefault="00370A87" w:rsidP="00AA30DD">
            <w:pPr>
              <w:pStyle w:val="Header"/>
              <w:tabs>
                <w:tab w:val="clear" w:pos="4320"/>
                <w:tab w:val="clear" w:pos="8640"/>
              </w:tabs>
              <w:jc w:val="both"/>
            </w:pPr>
            <w:r>
              <w:t xml:space="preserve">S.B. 1783 amends the Government Code to require the </w:t>
            </w:r>
            <w:r w:rsidRPr="002A76BD">
              <w:t>Office of Court Administration of the Texas Judicial System</w:t>
            </w:r>
            <w:r>
              <w:t xml:space="preserve"> (OCA)</w:t>
            </w:r>
            <w:r>
              <w:t xml:space="preserve"> by rule to establish a training course with at least 24 hours of training for persons facilitating mediations </w:t>
            </w:r>
            <w:r>
              <w:t>relating to guardianship that may be provided by a mediation training provider approved by OCA. The bill requires a mediation training provider t</w:t>
            </w:r>
            <w:r>
              <w:t>o adhere to the established curriculum in providing the training course. The</w:t>
            </w:r>
            <w:r>
              <w:t>se provisions</w:t>
            </w:r>
            <w:r>
              <w:t xml:space="preserve"> expressly do not require a mediator facilitating a mediation to attend or be certified under such a training course.</w:t>
            </w:r>
          </w:p>
          <w:p w:rsidR="00800E48" w:rsidRDefault="00370A87" w:rsidP="00AA30DD">
            <w:pPr>
              <w:pStyle w:val="Header"/>
              <w:tabs>
                <w:tab w:val="clear" w:pos="4320"/>
                <w:tab w:val="clear" w:pos="8640"/>
              </w:tabs>
              <w:jc w:val="both"/>
            </w:pPr>
          </w:p>
          <w:p w:rsidR="002A76BD" w:rsidRDefault="00370A87" w:rsidP="00AA30DD">
            <w:pPr>
              <w:pStyle w:val="Header"/>
              <w:tabs>
                <w:tab w:val="clear" w:pos="4320"/>
                <w:tab w:val="clear" w:pos="8640"/>
              </w:tabs>
              <w:jc w:val="both"/>
            </w:pPr>
            <w:r>
              <w:t xml:space="preserve">S.B. 1783 establishes that OCA is </w:t>
            </w:r>
            <w:r w:rsidRPr="00800E48">
              <w:t>required to i</w:t>
            </w:r>
            <w:r>
              <w:t>m</w:t>
            </w:r>
            <w:r>
              <w:t>plement a provision of the bill</w:t>
            </w:r>
            <w:r w:rsidRPr="00800E48">
              <w:t xml:space="preserve"> only if the legislature appropriates money specifically for that purpose</w:t>
            </w:r>
            <w:r>
              <w:t xml:space="preserve"> and</w:t>
            </w:r>
            <w:r>
              <w:t xml:space="preserve"> that,</w:t>
            </w:r>
            <w:r>
              <w:t xml:space="preserve"> </w:t>
            </w:r>
            <w:r>
              <w:t>if the legislature does not appropriate money specifically for that purpose,</w:t>
            </w:r>
            <w:r>
              <w:t xml:space="preserve"> OCA may, but is not required to</w:t>
            </w:r>
            <w:r>
              <w:t>,</w:t>
            </w:r>
            <w:r>
              <w:t xml:space="preserve"> implement a provision of the bi</w:t>
            </w:r>
            <w:r>
              <w:t xml:space="preserve">ll using other appropriations available for that purpose. </w:t>
            </w:r>
            <w:r>
              <w:t xml:space="preserve">  </w:t>
            </w:r>
          </w:p>
          <w:p w:rsidR="008423E4" w:rsidRPr="00835628" w:rsidRDefault="00370A87" w:rsidP="00AA30DD">
            <w:pPr>
              <w:rPr>
                <w:b/>
              </w:rPr>
            </w:pPr>
          </w:p>
        </w:tc>
      </w:tr>
      <w:tr w:rsidR="00CC3604" w:rsidTr="00345119">
        <w:tc>
          <w:tcPr>
            <w:tcW w:w="9576" w:type="dxa"/>
          </w:tcPr>
          <w:p w:rsidR="008423E4" w:rsidRPr="00A8133F" w:rsidRDefault="00370A87" w:rsidP="00AA30DD">
            <w:pPr>
              <w:rPr>
                <w:b/>
              </w:rPr>
            </w:pPr>
            <w:r w:rsidRPr="009C1E9A">
              <w:rPr>
                <w:b/>
                <w:u w:val="single"/>
              </w:rPr>
              <w:t>EFFECTIVE DATE</w:t>
            </w:r>
            <w:r>
              <w:rPr>
                <w:b/>
              </w:rPr>
              <w:t xml:space="preserve"> </w:t>
            </w:r>
          </w:p>
          <w:p w:rsidR="008423E4" w:rsidRDefault="00370A87" w:rsidP="00AA30DD"/>
          <w:p w:rsidR="008423E4" w:rsidRPr="003624F2" w:rsidRDefault="00370A87" w:rsidP="00AA30DD">
            <w:pPr>
              <w:pStyle w:val="Header"/>
              <w:tabs>
                <w:tab w:val="clear" w:pos="4320"/>
                <w:tab w:val="clear" w:pos="8640"/>
              </w:tabs>
              <w:jc w:val="both"/>
            </w:pPr>
            <w:r>
              <w:t>September 1, 2019.</w:t>
            </w:r>
          </w:p>
          <w:p w:rsidR="008423E4" w:rsidRPr="00233FDB" w:rsidRDefault="00370A87" w:rsidP="00AA30DD">
            <w:pPr>
              <w:rPr>
                <w:b/>
              </w:rPr>
            </w:pPr>
          </w:p>
        </w:tc>
      </w:tr>
    </w:tbl>
    <w:p w:rsidR="008423E4" w:rsidRPr="00BE0E75" w:rsidRDefault="00370A87" w:rsidP="008423E4">
      <w:pPr>
        <w:spacing w:line="480" w:lineRule="auto"/>
        <w:jc w:val="both"/>
        <w:rPr>
          <w:rFonts w:ascii="Arial" w:hAnsi="Arial"/>
          <w:sz w:val="16"/>
          <w:szCs w:val="16"/>
        </w:rPr>
      </w:pPr>
    </w:p>
    <w:p w:rsidR="004108C3" w:rsidRPr="008423E4" w:rsidRDefault="00370A8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0A87">
      <w:r>
        <w:separator/>
      </w:r>
    </w:p>
  </w:endnote>
  <w:endnote w:type="continuationSeparator" w:id="0">
    <w:p w:rsidR="00000000" w:rsidRDefault="0037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C3604" w:rsidTr="009C1E9A">
      <w:trPr>
        <w:cantSplit/>
      </w:trPr>
      <w:tc>
        <w:tcPr>
          <w:tcW w:w="0" w:type="pct"/>
        </w:tcPr>
        <w:p w:rsidR="00137D90" w:rsidRDefault="00370A87" w:rsidP="009C1E9A">
          <w:pPr>
            <w:pStyle w:val="Footer"/>
            <w:tabs>
              <w:tab w:val="clear" w:pos="8640"/>
              <w:tab w:val="right" w:pos="9360"/>
            </w:tabs>
          </w:pPr>
        </w:p>
      </w:tc>
      <w:tc>
        <w:tcPr>
          <w:tcW w:w="2395" w:type="pct"/>
        </w:tcPr>
        <w:p w:rsidR="00137D90" w:rsidRDefault="00370A87" w:rsidP="009C1E9A">
          <w:pPr>
            <w:pStyle w:val="Footer"/>
            <w:tabs>
              <w:tab w:val="clear" w:pos="8640"/>
              <w:tab w:val="right" w:pos="9360"/>
            </w:tabs>
          </w:pPr>
        </w:p>
        <w:p w:rsidR="001A4310" w:rsidRDefault="00370A87" w:rsidP="009C1E9A">
          <w:pPr>
            <w:pStyle w:val="Footer"/>
            <w:tabs>
              <w:tab w:val="clear" w:pos="8640"/>
              <w:tab w:val="right" w:pos="9360"/>
            </w:tabs>
          </w:pPr>
        </w:p>
        <w:p w:rsidR="00137D90" w:rsidRDefault="00370A87" w:rsidP="009C1E9A">
          <w:pPr>
            <w:pStyle w:val="Footer"/>
            <w:tabs>
              <w:tab w:val="clear" w:pos="8640"/>
              <w:tab w:val="right" w:pos="9360"/>
            </w:tabs>
          </w:pPr>
        </w:p>
      </w:tc>
      <w:tc>
        <w:tcPr>
          <w:tcW w:w="2453" w:type="pct"/>
        </w:tcPr>
        <w:p w:rsidR="00137D90" w:rsidRDefault="00370A87" w:rsidP="009C1E9A">
          <w:pPr>
            <w:pStyle w:val="Footer"/>
            <w:tabs>
              <w:tab w:val="clear" w:pos="8640"/>
              <w:tab w:val="right" w:pos="9360"/>
            </w:tabs>
            <w:jc w:val="right"/>
          </w:pPr>
        </w:p>
      </w:tc>
    </w:tr>
    <w:tr w:rsidR="00CC3604" w:rsidTr="009C1E9A">
      <w:trPr>
        <w:cantSplit/>
      </w:trPr>
      <w:tc>
        <w:tcPr>
          <w:tcW w:w="0" w:type="pct"/>
        </w:tcPr>
        <w:p w:rsidR="00EC379B" w:rsidRDefault="00370A87" w:rsidP="009C1E9A">
          <w:pPr>
            <w:pStyle w:val="Footer"/>
            <w:tabs>
              <w:tab w:val="clear" w:pos="8640"/>
              <w:tab w:val="right" w:pos="9360"/>
            </w:tabs>
          </w:pPr>
        </w:p>
      </w:tc>
      <w:tc>
        <w:tcPr>
          <w:tcW w:w="2395" w:type="pct"/>
        </w:tcPr>
        <w:p w:rsidR="00EC379B" w:rsidRPr="009C1E9A" w:rsidRDefault="00370A87" w:rsidP="009C1E9A">
          <w:pPr>
            <w:pStyle w:val="Footer"/>
            <w:tabs>
              <w:tab w:val="clear" w:pos="8640"/>
              <w:tab w:val="right" w:pos="9360"/>
            </w:tabs>
            <w:rPr>
              <w:rFonts w:ascii="Shruti" w:hAnsi="Shruti"/>
              <w:sz w:val="22"/>
            </w:rPr>
          </w:pPr>
          <w:r>
            <w:rPr>
              <w:rFonts w:ascii="Shruti" w:hAnsi="Shruti"/>
              <w:sz w:val="22"/>
            </w:rPr>
            <w:t>86R 33470</w:t>
          </w:r>
        </w:p>
      </w:tc>
      <w:tc>
        <w:tcPr>
          <w:tcW w:w="2453" w:type="pct"/>
        </w:tcPr>
        <w:p w:rsidR="00EC379B" w:rsidRDefault="00370A87" w:rsidP="009C1E9A">
          <w:pPr>
            <w:pStyle w:val="Footer"/>
            <w:tabs>
              <w:tab w:val="clear" w:pos="8640"/>
              <w:tab w:val="right" w:pos="9360"/>
            </w:tabs>
            <w:jc w:val="right"/>
          </w:pPr>
          <w:r>
            <w:fldChar w:fldCharType="begin"/>
          </w:r>
          <w:r>
            <w:instrText xml:space="preserve"> DOCPROPERTY  OTID  \* MERGEFORMAT </w:instrText>
          </w:r>
          <w:r>
            <w:fldChar w:fldCharType="separate"/>
          </w:r>
          <w:r>
            <w:t>19.130.1064</w:t>
          </w:r>
          <w:r>
            <w:fldChar w:fldCharType="end"/>
          </w:r>
        </w:p>
      </w:tc>
    </w:tr>
    <w:tr w:rsidR="00CC3604" w:rsidTr="009C1E9A">
      <w:trPr>
        <w:cantSplit/>
      </w:trPr>
      <w:tc>
        <w:tcPr>
          <w:tcW w:w="0" w:type="pct"/>
        </w:tcPr>
        <w:p w:rsidR="00EC379B" w:rsidRDefault="00370A87" w:rsidP="009C1E9A">
          <w:pPr>
            <w:pStyle w:val="Footer"/>
            <w:tabs>
              <w:tab w:val="clear" w:pos="4320"/>
              <w:tab w:val="clear" w:pos="8640"/>
              <w:tab w:val="left" w:pos="2865"/>
            </w:tabs>
          </w:pPr>
        </w:p>
      </w:tc>
      <w:tc>
        <w:tcPr>
          <w:tcW w:w="2395" w:type="pct"/>
        </w:tcPr>
        <w:p w:rsidR="00EC379B" w:rsidRPr="009C1E9A" w:rsidRDefault="00370A87" w:rsidP="009C1E9A">
          <w:pPr>
            <w:pStyle w:val="Footer"/>
            <w:tabs>
              <w:tab w:val="clear" w:pos="4320"/>
              <w:tab w:val="clear" w:pos="8640"/>
              <w:tab w:val="left" w:pos="2865"/>
            </w:tabs>
            <w:rPr>
              <w:rFonts w:ascii="Shruti" w:hAnsi="Shruti"/>
              <w:sz w:val="22"/>
            </w:rPr>
          </w:pPr>
        </w:p>
      </w:tc>
      <w:tc>
        <w:tcPr>
          <w:tcW w:w="2453" w:type="pct"/>
        </w:tcPr>
        <w:p w:rsidR="00EC379B" w:rsidRDefault="00370A87" w:rsidP="006D504F">
          <w:pPr>
            <w:pStyle w:val="Footer"/>
            <w:rPr>
              <w:rStyle w:val="PageNumber"/>
            </w:rPr>
          </w:pPr>
        </w:p>
        <w:p w:rsidR="00EC379B" w:rsidRDefault="00370A87" w:rsidP="009C1E9A">
          <w:pPr>
            <w:pStyle w:val="Footer"/>
            <w:tabs>
              <w:tab w:val="clear" w:pos="8640"/>
              <w:tab w:val="right" w:pos="9360"/>
            </w:tabs>
            <w:jc w:val="right"/>
          </w:pPr>
        </w:p>
      </w:tc>
    </w:tr>
    <w:tr w:rsidR="00CC3604" w:rsidTr="009C1E9A">
      <w:trPr>
        <w:cantSplit/>
        <w:trHeight w:val="323"/>
      </w:trPr>
      <w:tc>
        <w:tcPr>
          <w:tcW w:w="0" w:type="pct"/>
          <w:gridSpan w:val="3"/>
        </w:tcPr>
        <w:p w:rsidR="00EC379B" w:rsidRDefault="00370A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370A87" w:rsidP="009C1E9A">
          <w:pPr>
            <w:pStyle w:val="Footer"/>
            <w:tabs>
              <w:tab w:val="clear" w:pos="8640"/>
              <w:tab w:val="right" w:pos="9360"/>
            </w:tabs>
            <w:jc w:val="center"/>
          </w:pPr>
        </w:p>
      </w:tc>
    </w:tr>
  </w:tbl>
  <w:p w:rsidR="00EC379B" w:rsidRPr="00FF6F72" w:rsidRDefault="00370A8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0A87">
      <w:r>
        <w:separator/>
      </w:r>
    </w:p>
  </w:footnote>
  <w:footnote w:type="continuationSeparator" w:id="0">
    <w:p w:rsidR="00000000" w:rsidRDefault="0037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0E3D"/>
    <w:multiLevelType w:val="hybridMultilevel"/>
    <w:tmpl w:val="DE0060D8"/>
    <w:lvl w:ilvl="0" w:tplc="149CEE76">
      <w:start w:val="1"/>
      <w:numFmt w:val="bullet"/>
      <w:lvlText w:val=""/>
      <w:lvlJc w:val="left"/>
      <w:pPr>
        <w:tabs>
          <w:tab w:val="num" w:pos="720"/>
        </w:tabs>
        <w:ind w:left="720" w:hanging="360"/>
      </w:pPr>
      <w:rPr>
        <w:rFonts w:ascii="Symbol" w:hAnsi="Symbol" w:hint="default"/>
      </w:rPr>
    </w:lvl>
    <w:lvl w:ilvl="1" w:tplc="D3921F50">
      <w:start w:val="1"/>
      <w:numFmt w:val="bullet"/>
      <w:lvlText w:val="o"/>
      <w:lvlJc w:val="left"/>
      <w:pPr>
        <w:ind w:left="1440" w:hanging="360"/>
      </w:pPr>
      <w:rPr>
        <w:rFonts w:ascii="Courier New" w:hAnsi="Courier New" w:cs="Courier New" w:hint="default"/>
      </w:rPr>
    </w:lvl>
    <w:lvl w:ilvl="2" w:tplc="88628904" w:tentative="1">
      <w:start w:val="1"/>
      <w:numFmt w:val="bullet"/>
      <w:lvlText w:val=""/>
      <w:lvlJc w:val="left"/>
      <w:pPr>
        <w:ind w:left="2160" w:hanging="360"/>
      </w:pPr>
      <w:rPr>
        <w:rFonts w:ascii="Wingdings" w:hAnsi="Wingdings" w:hint="default"/>
      </w:rPr>
    </w:lvl>
    <w:lvl w:ilvl="3" w:tplc="FE9A140E" w:tentative="1">
      <w:start w:val="1"/>
      <w:numFmt w:val="bullet"/>
      <w:lvlText w:val=""/>
      <w:lvlJc w:val="left"/>
      <w:pPr>
        <w:ind w:left="2880" w:hanging="360"/>
      </w:pPr>
      <w:rPr>
        <w:rFonts w:ascii="Symbol" w:hAnsi="Symbol" w:hint="default"/>
      </w:rPr>
    </w:lvl>
    <w:lvl w:ilvl="4" w:tplc="D4FE9650" w:tentative="1">
      <w:start w:val="1"/>
      <w:numFmt w:val="bullet"/>
      <w:lvlText w:val="o"/>
      <w:lvlJc w:val="left"/>
      <w:pPr>
        <w:ind w:left="3600" w:hanging="360"/>
      </w:pPr>
      <w:rPr>
        <w:rFonts w:ascii="Courier New" w:hAnsi="Courier New" w:cs="Courier New" w:hint="default"/>
      </w:rPr>
    </w:lvl>
    <w:lvl w:ilvl="5" w:tplc="186C5624" w:tentative="1">
      <w:start w:val="1"/>
      <w:numFmt w:val="bullet"/>
      <w:lvlText w:val=""/>
      <w:lvlJc w:val="left"/>
      <w:pPr>
        <w:ind w:left="4320" w:hanging="360"/>
      </w:pPr>
      <w:rPr>
        <w:rFonts w:ascii="Wingdings" w:hAnsi="Wingdings" w:hint="default"/>
      </w:rPr>
    </w:lvl>
    <w:lvl w:ilvl="6" w:tplc="2DF0C8F8" w:tentative="1">
      <w:start w:val="1"/>
      <w:numFmt w:val="bullet"/>
      <w:lvlText w:val=""/>
      <w:lvlJc w:val="left"/>
      <w:pPr>
        <w:ind w:left="5040" w:hanging="360"/>
      </w:pPr>
      <w:rPr>
        <w:rFonts w:ascii="Symbol" w:hAnsi="Symbol" w:hint="default"/>
      </w:rPr>
    </w:lvl>
    <w:lvl w:ilvl="7" w:tplc="44C6BCC6" w:tentative="1">
      <w:start w:val="1"/>
      <w:numFmt w:val="bullet"/>
      <w:lvlText w:val="o"/>
      <w:lvlJc w:val="left"/>
      <w:pPr>
        <w:ind w:left="5760" w:hanging="360"/>
      </w:pPr>
      <w:rPr>
        <w:rFonts w:ascii="Courier New" w:hAnsi="Courier New" w:cs="Courier New" w:hint="default"/>
      </w:rPr>
    </w:lvl>
    <w:lvl w:ilvl="8" w:tplc="843A1B76" w:tentative="1">
      <w:start w:val="1"/>
      <w:numFmt w:val="bullet"/>
      <w:lvlText w:val=""/>
      <w:lvlJc w:val="left"/>
      <w:pPr>
        <w:ind w:left="6480" w:hanging="360"/>
      </w:pPr>
      <w:rPr>
        <w:rFonts w:ascii="Wingdings" w:hAnsi="Wingdings" w:hint="default"/>
      </w:rPr>
    </w:lvl>
  </w:abstractNum>
  <w:abstractNum w:abstractNumId="1" w15:restartNumberingAfterBreak="0">
    <w:nsid w:val="2E2201A5"/>
    <w:multiLevelType w:val="hybridMultilevel"/>
    <w:tmpl w:val="9C005AFC"/>
    <w:lvl w:ilvl="0" w:tplc="E85C8EDA">
      <w:start w:val="1"/>
      <w:numFmt w:val="bullet"/>
      <w:lvlText w:val=""/>
      <w:lvlJc w:val="left"/>
      <w:pPr>
        <w:tabs>
          <w:tab w:val="num" w:pos="720"/>
        </w:tabs>
        <w:ind w:left="720" w:hanging="360"/>
      </w:pPr>
      <w:rPr>
        <w:rFonts w:ascii="Symbol" w:hAnsi="Symbol" w:hint="default"/>
      </w:rPr>
    </w:lvl>
    <w:lvl w:ilvl="1" w:tplc="B810E2B4" w:tentative="1">
      <w:start w:val="1"/>
      <w:numFmt w:val="bullet"/>
      <w:lvlText w:val="o"/>
      <w:lvlJc w:val="left"/>
      <w:pPr>
        <w:ind w:left="1440" w:hanging="360"/>
      </w:pPr>
      <w:rPr>
        <w:rFonts w:ascii="Courier New" w:hAnsi="Courier New" w:cs="Courier New" w:hint="default"/>
      </w:rPr>
    </w:lvl>
    <w:lvl w:ilvl="2" w:tplc="9F5C3308" w:tentative="1">
      <w:start w:val="1"/>
      <w:numFmt w:val="bullet"/>
      <w:lvlText w:val=""/>
      <w:lvlJc w:val="left"/>
      <w:pPr>
        <w:ind w:left="2160" w:hanging="360"/>
      </w:pPr>
      <w:rPr>
        <w:rFonts w:ascii="Wingdings" w:hAnsi="Wingdings" w:hint="default"/>
      </w:rPr>
    </w:lvl>
    <w:lvl w:ilvl="3" w:tplc="3668A12A" w:tentative="1">
      <w:start w:val="1"/>
      <w:numFmt w:val="bullet"/>
      <w:lvlText w:val=""/>
      <w:lvlJc w:val="left"/>
      <w:pPr>
        <w:ind w:left="2880" w:hanging="360"/>
      </w:pPr>
      <w:rPr>
        <w:rFonts w:ascii="Symbol" w:hAnsi="Symbol" w:hint="default"/>
      </w:rPr>
    </w:lvl>
    <w:lvl w:ilvl="4" w:tplc="3BC43176" w:tentative="1">
      <w:start w:val="1"/>
      <w:numFmt w:val="bullet"/>
      <w:lvlText w:val="o"/>
      <w:lvlJc w:val="left"/>
      <w:pPr>
        <w:ind w:left="3600" w:hanging="360"/>
      </w:pPr>
      <w:rPr>
        <w:rFonts w:ascii="Courier New" w:hAnsi="Courier New" w:cs="Courier New" w:hint="default"/>
      </w:rPr>
    </w:lvl>
    <w:lvl w:ilvl="5" w:tplc="D090A11E" w:tentative="1">
      <w:start w:val="1"/>
      <w:numFmt w:val="bullet"/>
      <w:lvlText w:val=""/>
      <w:lvlJc w:val="left"/>
      <w:pPr>
        <w:ind w:left="4320" w:hanging="360"/>
      </w:pPr>
      <w:rPr>
        <w:rFonts w:ascii="Wingdings" w:hAnsi="Wingdings" w:hint="default"/>
      </w:rPr>
    </w:lvl>
    <w:lvl w:ilvl="6" w:tplc="77044822" w:tentative="1">
      <w:start w:val="1"/>
      <w:numFmt w:val="bullet"/>
      <w:lvlText w:val=""/>
      <w:lvlJc w:val="left"/>
      <w:pPr>
        <w:ind w:left="5040" w:hanging="360"/>
      </w:pPr>
      <w:rPr>
        <w:rFonts w:ascii="Symbol" w:hAnsi="Symbol" w:hint="default"/>
      </w:rPr>
    </w:lvl>
    <w:lvl w:ilvl="7" w:tplc="95E63704" w:tentative="1">
      <w:start w:val="1"/>
      <w:numFmt w:val="bullet"/>
      <w:lvlText w:val="o"/>
      <w:lvlJc w:val="left"/>
      <w:pPr>
        <w:ind w:left="5760" w:hanging="360"/>
      </w:pPr>
      <w:rPr>
        <w:rFonts w:ascii="Courier New" w:hAnsi="Courier New" w:cs="Courier New" w:hint="default"/>
      </w:rPr>
    </w:lvl>
    <w:lvl w:ilvl="8" w:tplc="F19A419A" w:tentative="1">
      <w:start w:val="1"/>
      <w:numFmt w:val="bullet"/>
      <w:lvlText w:val=""/>
      <w:lvlJc w:val="left"/>
      <w:pPr>
        <w:ind w:left="6480" w:hanging="360"/>
      </w:pPr>
      <w:rPr>
        <w:rFonts w:ascii="Wingdings" w:hAnsi="Wingdings" w:hint="default"/>
      </w:rPr>
    </w:lvl>
  </w:abstractNum>
  <w:abstractNum w:abstractNumId="2" w15:restartNumberingAfterBreak="0">
    <w:nsid w:val="697165AA"/>
    <w:multiLevelType w:val="hybridMultilevel"/>
    <w:tmpl w:val="DD0E2470"/>
    <w:lvl w:ilvl="0" w:tplc="BE0440E6">
      <w:start w:val="1"/>
      <w:numFmt w:val="bullet"/>
      <w:lvlText w:val=""/>
      <w:lvlJc w:val="left"/>
      <w:pPr>
        <w:tabs>
          <w:tab w:val="num" w:pos="720"/>
        </w:tabs>
        <w:ind w:left="720" w:hanging="360"/>
      </w:pPr>
      <w:rPr>
        <w:rFonts w:ascii="Symbol" w:hAnsi="Symbol" w:hint="default"/>
      </w:rPr>
    </w:lvl>
    <w:lvl w:ilvl="1" w:tplc="2D72FAFC" w:tentative="1">
      <w:start w:val="1"/>
      <w:numFmt w:val="bullet"/>
      <w:lvlText w:val="o"/>
      <w:lvlJc w:val="left"/>
      <w:pPr>
        <w:ind w:left="1440" w:hanging="360"/>
      </w:pPr>
      <w:rPr>
        <w:rFonts w:ascii="Courier New" w:hAnsi="Courier New" w:cs="Courier New" w:hint="default"/>
      </w:rPr>
    </w:lvl>
    <w:lvl w:ilvl="2" w:tplc="25184C10" w:tentative="1">
      <w:start w:val="1"/>
      <w:numFmt w:val="bullet"/>
      <w:lvlText w:val=""/>
      <w:lvlJc w:val="left"/>
      <w:pPr>
        <w:ind w:left="2160" w:hanging="360"/>
      </w:pPr>
      <w:rPr>
        <w:rFonts w:ascii="Wingdings" w:hAnsi="Wingdings" w:hint="default"/>
      </w:rPr>
    </w:lvl>
    <w:lvl w:ilvl="3" w:tplc="57EEB5B4" w:tentative="1">
      <w:start w:val="1"/>
      <w:numFmt w:val="bullet"/>
      <w:lvlText w:val=""/>
      <w:lvlJc w:val="left"/>
      <w:pPr>
        <w:ind w:left="2880" w:hanging="360"/>
      </w:pPr>
      <w:rPr>
        <w:rFonts w:ascii="Symbol" w:hAnsi="Symbol" w:hint="default"/>
      </w:rPr>
    </w:lvl>
    <w:lvl w:ilvl="4" w:tplc="544EA4C4" w:tentative="1">
      <w:start w:val="1"/>
      <w:numFmt w:val="bullet"/>
      <w:lvlText w:val="o"/>
      <w:lvlJc w:val="left"/>
      <w:pPr>
        <w:ind w:left="3600" w:hanging="360"/>
      </w:pPr>
      <w:rPr>
        <w:rFonts w:ascii="Courier New" w:hAnsi="Courier New" w:cs="Courier New" w:hint="default"/>
      </w:rPr>
    </w:lvl>
    <w:lvl w:ilvl="5" w:tplc="6B3EA0B6" w:tentative="1">
      <w:start w:val="1"/>
      <w:numFmt w:val="bullet"/>
      <w:lvlText w:val=""/>
      <w:lvlJc w:val="left"/>
      <w:pPr>
        <w:ind w:left="4320" w:hanging="360"/>
      </w:pPr>
      <w:rPr>
        <w:rFonts w:ascii="Wingdings" w:hAnsi="Wingdings" w:hint="default"/>
      </w:rPr>
    </w:lvl>
    <w:lvl w:ilvl="6" w:tplc="0590D31C" w:tentative="1">
      <w:start w:val="1"/>
      <w:numFmt w:val="bullet"/>
      <w:lvlText w:val=""/>
      <w:lvlJc w:val="left"/>
      <w:pPr>
        <w:ind w:left="5040" w:hanging="360"/>
      </w:pPr>
      <w:rPr>
        <w:rFonts w:ascii="Symbol" w:hAnsi="Symbol" w:hint="default"/>
      </w:rPr>
    </w:lvl>
    <w:lvl w:ilvl="7" w:tplc="7BC0FB8C" w:tentative="1">
      <w:start w:val="1"/>
      <w:numFmt w:val="bullet"/>
      <w:lvlText w:val="o"/>
      <w:lvlJc w:val="left"/>
      <w:pPr>
        <w:ind w:left="5760" w:hanging="360"/>
      </w:pPr>
      <w:rPr>
        <w:rFonts w:ascii="Courier New" w:hAnsi="Courier New" w:cs="Courier New" w:hint="default"/>
      </w:rPr>
    </w:lvl>
    <w:lvl w:ilvl="8" w:tplc="D834C3F6" w:tentative="1">
      <w:start w:val="1"/>
      <w:numFmt w:val="bullet"/>
      <w:lvlText w:val=""/>
      <w:lvlJc w:val="left"/>
      <w:pPr>
        <w:ind w:left="6480" w:hanging="360"/>
      </w:pPr>
      <w:rPr>
        <w:rFonts w:ascii="Wingdings" w:hAnsi="Wingdings" w:hint="default"/>
      </w:rPr>
    </w:lvl>
  </w:abstractNum>
  <w:abstractNum w:abstractNumId="3" w15:restartNumberingAfterBreak="0">
    <w:nsid w:val="735E2020"/>
    <w:multiLevelType w:val="hybridMultilevel"/>
    <w:tmpl w:val="38BE52FC"/>
    <w:lvl w:ilvl="0" w:tplc="77103382">
      <w:start w:val="1"/>
      <w:numFmt w:val="bullet"/>
      <w:lvlText w:val=""/>
      <w:lvlJc w:val="left"/>
      <w:pPr>
        <w:tabs>
          <w:tab w:val="num" w:pos="720"/>
        </w:tabs>
        <w:ind w:left="720" w:hanging="360"/>
      </w:pPr>
      <w:rPr>
        <w:rFonts w:ascii="Symbol" w:hAnsi="Symbol" w:hint="default"/>
      </w:rPr>
    </w:lvl>
    <w:lvl w:ilvl="1" w:tplc="686419E4" w:tentative="1">
      <w:start w:val="1"/>
      <w:numFmt w:val="bullet"/>
      <w:lvlText w:val="o"/>
      <w:lvlJc w:val="left"/>
      <w:pPr>
        <w:ind w:left="1440" w:hanging="360"/>
      </w:pPr>
      <w:rPr>
        <w:rFonts w:ascii="Courier New" w:hAnsi="Courier New" w:cs="Courier New" w:hint="default"/>
      </w:rPr>
    </w:lvl>
    <w:lvl w:ilvl="2" w:tplc="C8EC9E9E" w:tentative="1">
      <w:start w:val="1"/>
      <w:numFmt w:val="bullet"/>
      <w:lvlText w:val=""/>
      <w:lvlJc w:val="left"/>
      <w:pPr>
        <w:ind w:left="2160" w:hanging="360"/>
      </w:pPr>
      <w:rPr>
        <w:rFonts w:ascii="Wingdings" w:hAnsi="Wingdings" w:hint="default"/>
      </w:rPr>
    </w:lvl>
    <w:lvl w:ilvl="3" w:tplc="B45011EC" w:tentative="1">
      <w:start w:val="1"/>
      <w:numFmt w:val="bullet"/>
      <w:lvlText w:val=""/>
      <w:lvlJc w:val="left"/>
      <w:pPr>
        <w:ind w:left="2880" w:hanging="360"/>
      </w:pPr>
      <w:rPr>
        <w:rFonts w:ascii="Symbol" w:hAnsi="Symbol" w:hint="default"/>
      </w:rPr>
    </w:lvl>
    <w:lvl w:ilvl="4" w:tplc="10E0DA70" w:tentative="1">
      <w:start w:val="1"/>
      <w:numFmt w:val="bullet"/>
      <w:lvlText w:val="o"/>
      <w:lvlJc w:val="left"/>
      <w:pPr>
        <w:ind w:left="3600" w:hanging="360"/>
      </w:pPr>
      <w:rPr>
        <w:rFonts w:ascii="Courier New" w:hAnsi="Courier New" w:cs="Courier New" w:hint="default"/>
      </w:rPr>
    </w:lvl>
    <w:lvl w:ilvl="5" w:tplc="80269D5A" w:tentative="1">
      <w:start w:val="1"/>
      <w:numFmt w:val="bullet"/>
      <w:lvlText w:val=""/>
      <w:lvlJc w:val="left"/>
      <w:pPr>
        <w:ind w:left="4320" w:hanging="360"/>
      </w:pPr>
      <w:rPr>
        <w:rFonts w:ascii="Wingdings" w:hAnsi="Wingdings" w:hint="default"/>
      </w:rPr>
    </w:lvl>
    <w:lvl w:ilvl="6" w:tplc="1BB8DE9A" w:tentative="1">
      <w:start w:val="1"/>
      <w:numFmt w:val="bullet"/>
      <w:lvlText w:val=""/>
      <w:lvlJc w:val="left"/>
      <w:pPr>
        <w:ind w:left="5040" w:hanging="360"/>
      </w:pPr>
      <w:rPr>
        <w:rFonts w:ascii="Symbol" w:hAnsi="Symbol" w:hint="default"/>
      </w:rPr>
    </w:lvl>
    <w:lvl w:ilvl="7" w:tplc="33640206" w:tentative="1">
      <w:start w:val="1"/>
      <w:numFmt w:val="bullet"/>
      <w:lvlText w:val="o"/>
      <w:lvlJc w:val="left"/>
      <w:pPr>
        <w:ind w:left="5760" w:hanging="360"/>
      </w:pPr>
      <w:rPr>
        <w:rFonts w:ascii="Courier New" w:hAnsi="Courier New" w:cs="Courier New" w:hint="default"/>
      </w:rPr>
    </w:lvl>
    <w:lvl w:ilvl="8" w:tplc="EB62C65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04"/>
    <w:rsid w:val="00370A87"/>
    <w:rsid w:val="00CC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0A5DC4-7A60-4B81-BCDF-41459590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21B5D"/>
    <w:rPr>
      <w:sz w:val="16"/>
      <w:szCs w:val="16"/>
    </w:rPr>
  </w:style>
  <w:style w:type="paragraph" w:styleId="CommentText">
    <w:name w:val="annotation text"/>
    <w:basedOn w:val="Normal"/>
    <w:link w:val="CommentTextChar"/>
    <w:semiHidden/>
    <w:unhideWhenUsed/>
    <w:rsid w:val="00E21B5D"/>
    <w:rPr>
      <w:sz w:val="20"/>
      <w:szCs w:val="20"/>
    </w:rPr>
  </w:style>
  <w:style w:type="character" w:customStyle="1" w:styleId="CommentTextChar">
    <w:name w:val="Comment Text Char"/>
    <w:basedOn w:val="DefaultParagraphFont"/>
    <w:link w:val="CommentText"/>
    <w:semiHidden/>
    <w:rsid w:val="00E21B5D"/>
  </w:style>
  <w:style w:type="paragraph" w:styleId="CommentSubject">
    <w:name w:val="annotation subject"/>
    <w:basedOn w:val="CommentText"/>
    <w:next w:val="CommentText"/>
    <w:link w:val="CommentSubjectChar"/>
    <w:semiHidden/>
    <w:unhideWhenUsed/>
    <w:rsid w:val="00E21B5D"/>
    <w:rPr>
      <w:b/>
      <w:bCs/>
    </w:rPr>
  </w:style>
  <w:style w:type="character" w:customStyle="1" w:styleId="CommentSubjectChar">
    <w:name w:val="Comment Subject Char"/>
    <w:basedOn w:val="CommentTextChar"/>
    <w:link w:val="CommentSubject"/>
    <w:semiHidden/>
    <w:rsid w:val="00E21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5912</Characters>
  <Application>Microsoft Office Word</Application>
  <DocSecurity>4</DocSecurity>
  <Lines>121</Lines>
  <Paragraphs>37</Paragraphs>
  <ScaleCrop>false</ScaleCrop>
  <HeadingPairs>
    <vt:vector size="2" baseType="variant">
      <vt:variant>
        <vt:lpstr>Title</vt:lpstr>
      </vt:variant>
      <vt:variant>
        <vt:i4>1</vt:i4>
      </vt:variant>
    </vt:vector>
  </HeadingPairs>
  <TitlesOfParts>
    <vt:vector size="1" baseType="lpstr">
      <vt:lpstr>BA - SB01783 (Committee Report (Unamended))</vt:lpstr>
    </vt:vector>
  </TitlesOfParts>
  <Company>State of Texas</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33470</dc:subject>
  <dc:creator>State of Texas</dc:creator>
  <dc:description>SB 1783 by Zaffirini-(H)Judiciary &amp; Civil Jurisprudence</dc:description>
  <cp:lastModifiedBy>Scotty Wimberley</cp:lastModifiedBy>
  <cp:revision>2</cp:revision>
  <cp:lastPrinted>2003-11-26T17:21:00Z</cp:lastPrinted>
  <dcterms:created xsi:type="dcterms:W3CDTF">2019-05-14T18:53:00Z</dcterms:created>
  <dcterms:modified xsi:type="dcterms:W3CDTF">2019-05-14T18:53:00Z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19.130.1064</vt:lpwstr>
  </property>
</Properties>
</file>