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F1" w:rsidRDefault="0042754C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5E5D" w:rsidTr="00345119">
        <w:tc>
          <w:tcPr>
            <w:tcW w:w="9576" w:type="dxa"/>
            <w:noWrap/>
          </w:tcPr>
          <w:p w:rsidR="008423E4" w:rsidRPr="0022177D" w:rsidRDefault="0042754C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42754C" w:rsidP="008423E4">
      <w:pPr>
        <w:jc w:val="center"/>
      </w:pPr>
    </w:p>
    <w:p w:rsidR="008423E4" w:rsidRPr="00B31F0E" w:rsidRDefault="0042754C" w:rsidP="008423E4"/>
    <w:p w:rsidR="008423E4" w:rsidRPr="00742794" w:rsidRDefault="004275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5E5D" w:rsidTr="00345119">
        <w:tc>
          <w:tcPr>
            <w:tcW w:w="9576" w:type="dxa"/>
          </w:tcPr>
          <w:p w:rsidR="008423E4" w:rsidRPr="00861995" w:rsidRDefault="0042754C" w:rsidP="00345119">
            <w:pPr>
              <w:jc w:val="right"/>
            </w:pPr>
            <w:r>
              <w:t>C.S.S.B. 1803</w:t>
            </w:r>
          </w:p>
        </w:tc>
      </w:tr>
      <w:tr w:rsidR="00C85E5D" w:rsidTr="00345119">
        <w:tc>
          <w:tcPr>
            <w:tcW w:w="9576" w:type="dxa"/>
          </w:tcPr>
          <w:p w:rsidR="008423E4" w:rsidRPr="00861995" w:rsidRDefault="0042754C" w:rsidP="00237010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C85E5D" w:rsidTr="00345119">
        <w:tc>
          <w:tcPr>
            <w:tcW w:w="9576" w:type="dxa"/>
          </w:tcPr>
          <w:p w:rsidR="008423E4" w:rsidRPr="00861995" w:rsidRDefault="0042754C" w:rsidP="00345119">
            <w:pPr>
              <w:jc w:val="right"/>
            </w:pPr>
            <w:r>
              <w:t>Criminal Jurisprudence</w:t>
            </w:r>
          </w:p>
        </w:tc>
      </w:tr>
      <w:tr w:rsidR="00C85E5D" w:rsidTr="00345119">
        <w:tc>
          <w:tcPr>
            <w:tcW w:w="9576" w:type="dxa"/>
          </w:tcPr>
          <w:p w:rsidR="008423E4" w:rsidRDefault="0042754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2754C" w:rsidP="008423E4">
      <w:pPr>
        <w:tabs>
          <w:tab w:val="right" w:pos="9360"/>
        </w:tabs>
      </w:pPr>
    </w:p>
    <w:p w:rsidR="008423E4" w:rsidRDefault="0042754C" w:rsidP="008423E4"/>
    <w:p w:rsidR="008423E4" w:rsidRDefault="004275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5E5D" w:rsidTr="00345119">
        <w:tc>
          <w:tcPr>
            <w:tcW w:w="9576" w:type="dxa"/>
          </w:tcPr>
          <w:p w:rsidR="008423E4" w:rsidRPr="00A8133F" w:rsidRDefault="0042754C" w:rsidP="00DF78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E543D6" w:rsidRDefault="0042754C" w:rsidP="00DF7896">
            <w:pPr>
              <w:rPr>
                <w:sz w:val="22"/>
                <w:szCs w:val="22"/>
              </w:rPr>
            </w:pPr>
          </w:p>
          <w:p w:rsidR="008423E4" w:rsidRDefault="0042754C" w:rsidP="00DF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eligibility </w:t>
            </w:r>
            <w:r>
              <w:t>for various types of community supervision of</w:t>
            </w:r>
            <w:r>
              <w:t xml:space="preserve"> defendants </w:t>
            </w:r>
            <w:r>
              <w:t>charged with</w:t>
            </w:r>
            <w:r>
              <w:t xml:space="preserve"> particularly heinous crimes related to sex trafficking</w:t>
            </w:r>
            <w:r>
              <w:t>, such as aggravated promotion of prostitution</w:t>
            </w:r>
            <w:r>
              <w:t xml:space="preserve"> and </w:t>
            </w:r>
            <w:r>
              <w:t>continuous trafficking of persons</w:t>
            </w:r>
            <w:r>
              <w:t xml:space="preserve">. </w:t>
            </w:r>
            <w:r>
              <w:t>C.S.S.B.</w:t>
            </w:r>
            <w:r>
              <w:t xml:space="preserve"> 1803</w:t>
            </w:r>
            <w:r>
              <w:t xml:space="preserve"> seeks to address this issue by making </w:t>
            </w:r>
            <w:r>
              <w:t>certain</w:t>
            </w:r>
            <w:r>
              <w:t xml:space="preserve"> offenders ineligible for </w:t>
            </w:r>
            <w:r>
              <w:t>such release</w:t>
            </w:r>
            <w:r w:rsidRPr="006155A0">
              <w:t>.</w:t>
            </w:r>
          </w:p>
          <w:p w:rsidR="008423E4" w:rsidRPr="00E26B13" w:rsidRDefault="0042754C" w:rsidP="00DF7896">
            <w:pPr>
              <w:rPr>
                <w:b/>
              </w:rPr>
            </w:pPr>
          </w:p>
        </w:tc>
      </w:tr>
      <w:tr w:rsidR="00C85E5D" w:rsidTr="00345119">
        <w:tc>
          <w:tcPr>
            <w:tcW w:w="9576" w:type="dxa"/>
          </w:tcPr>
          <w:p w:rsidR="0017725B" w:rsidRDefault="0042754C" w:rsidP="00DF7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Pr="00E543D6" w:rsidRDefault="0042754C" w:rsidP="00DF7896">
            <w:pPr>
              <w:rPr>
                <w:b/>
                <w:sz w:val="22"/>
                <w:szCs w:val="22"/>
                <w:u w:val="single"/>
              </w:rPr>
            </w:pPr>
          </w:p>
          <w:p w:rsidR="004924DD" w:rsidRPr="004924DD" w:rsidRDefault="0042754C" w:rsidP="00DF7896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community su</w:t>
            </w:r>
            <w:r>
              <w:t>pervision, parole, or mandatory supervision.</w:t>
            </w:r>
          </w:p>
          <w:p w:rsidR="0017725B" w:rsidRPr="0017725B" w:rsidRDefault="0042754C" w:rsidP="00DF7896">
            <w:pPr>
              <w:rPr>
                <w:b/>
                <w:u w:val="single"/>
              </w:rPr>
            </w:pPr>
          </w:p>
        </w:tc>
      </w:tr>
      <w:tr w:rsidR="00C85E5D" w:rsidTr="00345119">
        <w:tc>
          <w:tcPr>
            <w:tcW w:w="9576" w:type="dxa"/>
          </w:tcPr>
          <w:p w:rsidR="008423E4" w:rsidRPr="00A8133F" w:rsidRDefault="0042754C" w:rsidP="00DF78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E543D6" w:rsidRDefault="0042754C" w:rsidP="00DF7896">
            <w:pPr>
              <w:rPr>
                <w:sz w:val="22"/>
                <w:szCs w:val="22"/>
              </w:rPr>
            </w:pPr>
          </w:p>
          <w:p w:rsidR="004924DD" w:rsidRDefault="0042754C" w:rsidP="00DF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2754C" w:rsidP="00DF7896">
            <w:pPr>
              <w:rPr>
                <w:b/>
              </w:rPr>
            </w:pPr>
          </w:p>
        </w:tc>
      </w:tr>
      <w:tr w:rsidR="00C85E5D" w:rsidTr="00345119">
        <w:tc>
          <w:tcPr>
            <w:tcW w:w="9576" w:type="dxa"/>
          </w:tcPr>
          <w:p w:rsidR="008423E4" w:rsidRDefault="0042754C" w:rsidP="00DF78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70BA5" w:rsidRPr="00A8133F" w:rsidRDefault="0042754C" w:rsidP="00DF7896">
            <w:pPr>
              <w:rPr>
                <w:b/>
              </w:rPr>
            </w:pPr>
          </w:p>
          <w:p w:rsidR="008267EE" w:rsidRDefault="0042754C" w:rsidP="00DF7896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</w:pPr>
            <w:r>
              <w:t>C.S.S.B.</w:t>
            </w:r>
            <w:r>
              <w:t xml:space="preserve"> 18</w:t>
            </w:r>
            <w:r>
              <w:t>03</w:t>
            </w:r>
            <w:r>
              <w:t xml:space="preserve"> amends the Code of Criminal Procedure to include</w:t>
            </w:r>
            <w:r>
              <w:t xml:space="preserve"> among the offenses for which a judge is prohibited from ordering community supervision</w:t>
            </w:r>
            <w:r>
              <w:t xml:space="preserve"> </w:t>
            </w:r>
            <w:r>
              <w:t>and for which a person is ineligible for jury-recommended community supervision</w:t>
            </w:r>
            <w:r>
              <w:t xml:space="preserve"> the following offenses: </w:t>
            </w:r>
          </w:p>
          <w:p w:rsidR="008267EE" w:rsidRDefault="0042754C" w:rsidP="00DF789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continuous t</w:t>
            </w:r>
            <w:r>
              <w:t>rafficking of persons</w:t>
            </w:r>
            <w:r>
              <w:t>;</w:t>
            </w:r>
            <w:r>
              <w:t xml:space="preserve"> </w:t>
            </w:r>
          </w:p>
          <w:p w:rsidR="008267EE" w:rsidRDefault="0042754C" w:rsidP="00DF789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aggravated promotion of prostitution</w:t>
            </w:r>
            <w:r>
              <w:t>;</w:t>
            </w:r>
            <w:r>
              <w:t xml:space="preserve"> and </w:t>
            </w:r>
          </w:p>
          <w:p w:rsidR="008267EE" w:rsidRDefault="0042754C" w:rsidP="00DF789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any </w:t>
            </w:r>
            <w:r>
              <w:t>indecency with a child</w:t>
            </w:r>
            <w:r>
              <w:t xml:space="preserve"> conduct</w:t>
            </w:r>
            <w:r>
              <w:t>.</w:t>
            </w:r>
          </w:p>
          <w:p w:rsidR="00F526CE" w:rsidRDefault="0042754C" w:rsidP="00DF78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authorizes a judge to place </w:t>
            </w:r>
            <w:r>
              <w:t>a</w:t>
            </w:r>
            <w:r>
              <w:t xml:space="preserve"> defendant on community supervision </w:t>
            </w:r>
            <w:r>
              <w:t xml:space="preserve">with respect to the commission of an aggravated promotion of prostitution or compelling prostitution offense </w:t>
            </w:r>
            <w:r>
              <w:t>if the judge makes a finding that the defendant committed the offense solely as a victim of one of the following</w:t>
            </w:r>
            <w:r>
              <w:t xml:space="preserve"> offenses</w:t>
            </w:r>
            <w:r>
              <w:t>:</w:t>
            </w:r>
          </w:p>
          <w:p w:rsidR="00F526CE" w:rsidRDefault="0042754C" w:rsidP="00DF789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trafficking of persons o</w:t>
            </w:r>
            <w:r>
              <w:t>r continuous trafficking of persons;</w:t>
            </w:r>
          </w:p>
          <w:p w:rsidR="00F526CE" w:rsidRDefault="0042754C" w:rsidP="00DF789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promotion of prostitution</w:t>
            </w:r>
            <w:r>
              <w:t xml:space="preserve"> or </w:t>
            </w:r>
            <w:r>
              <w:t>aggravated promotion of prostitution; or</w:t>
            </w:r>
          </w:p>
          <w:p w:rsidR="00F526CE" w:rsidRDefault="0042754C" w:rsidP="00297007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compelling prostitution.</w:t>
            </w:r>
          </w:p>
          <w:p w:rsidR="00F94222" w:rsidRPr="00E543D6" w:rsidRDefault="0042754C" w:rsidP="00DF7896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94747" w:rsidRDefault="0042754C" w:rsidP="00DF7896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C.S.S.B.</w:t>
            </w:r>
            <w:r>
              <w:t xml:space="preserve"> 1803</w:t>
            </w:r>
            <w:r>
              <w:t xml:space="preserve"> </w:t>
            </w:r>
            <w:r>
              <w:t xml:space="preserve">makes a defendant charged with </w:t>
            </w:r>
            <w:r>
              <w:t>trafficking of persons</w:t>
            </w:r>
            <w:r>
              <w:t xml:space="preserve"> or</w:t>
            </w:r>
            <w:r>
              <w:t xml:space="preserve"> continuous trafficking of persons</w:t>
            </w:r>
            <w:r>
              <w:t xml:space="preserve">, or with </w:t>
            </w:r>
            <w:r>
              <w:t>aggravated promotion of prostitution or compelling prostitution</w:t>
            </w:r>
            <w:r>
              <w:t>, regardless of the victim's age,</w:t>
            </w:r>
            <w:r>
              <w:t xml:space="preserve"> ineligible for</w:t>
            </w:r>
            <w:r>
              <w:t xml:space="preserve"> deferred adjudication community supervision</w:t>
            </w:r>
            <w:r>
              <w:t>.</w:t>
            </w:r>
          </w:p>
          <w:p w:rsidR="009023AB" w:rsidRPr="00E543D6" w:rsidRDefault="0042754C" w:rsidP="00DF7896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9023AB" w:rsidRDefault="0042754C" w:rsidP="00DF7896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C.S.S.B.</w:t>
            </w:r>
            <w:r w:rsidRPr="00E056F3">
              <w:t xml:space="preserve"> 1803 </w:t>
            </w:r>
            <w:r>
              <w:t>requires</w:t>
            </w:r>
            <w:r>
              <w:t xml:space="preserve"> </w:t>
            </w:r>
            <w:r>
              <w:t>the Texas Department of Criminal Justice (</w:t>
            </w:r>
            <w:r>
              <w:t>TDCJ</w:t>
            </w:r>
            <w:r>
              <w:t>)</w:t>
            </w:r>
            <w:r>
              <w:t xml:space="preserve"> to implement a provision of</w:t>
            </w:r>
            <w:r>
              <w:t xml:space="preserve"> the bill only if the legislature appropriates money specifically for that purpose</w:t>
            </w:r>
            <w:r>
              <w:t>.</w:t>
            </w:r>
            <w:r>
              <w:t xml:space="preserve"> </w:t>
            </w:r>
            <w:r>
              <w:t>I</w:t>
            </w:r>
            <w:r>
              <w:t xml:space="preserve">f the legislature does not </w:t>
            </w:r>
            <w:r>
              <w:t>appropriate money specifically for that purpose</w:t>
            </w:r>
            <w:r>
              <w:t>, TDCJ</w:t>
            </w:r>
            <w:r>
              <w:t xml:space="preserve"> may, </w:t>
            </w:r>
            <w:r>
              <w:t>but is not required to</w:t>
            </w:r>
            <w:r>
              <w:t>,</w:t>
            </w:r>
            <w:r>
              <w:t xml:space="preserve"> implement a provision of the bill using other appropriations </w:t>
            </w:r>
            <w:r>
              <w:t>available for that purpose.</w:t>
            </w:r>
          </w:p>
          <w:p w:rsidR="00D448B6" w:rsidRPr="00E543D6" w:rsidRDefault="0042754C" w:rsidP="00DF7896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448B6" w:rsidRDefault="0042754C" w:rsidP="00DF7896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C.S.S.B.</w:t>
            </w:r>
            <w:r>
              <w:t xml:space="preserve"> 1803</w:t>
            </w:r>
            <w:r>
              <w:t xml:space="preserve"> </w:t>
            </w:r>
            <w:r>
              <w:t>amends the Health and Safety Cod</w:t>
            </w:r>
            <w:r>
              <w:t>e</w:t>
            </w:r>
            <w:r>
              <w:t xml:space="preserve"> to</w:t>
            </w:r>
            <w:r>
              <w:t xml:space="preserve"> </w:t>
            </w:r>
            <w:r>
              <w:t>make conforming changes</w:t>
            </w:r>
            <w:r>
              <w:t>.</w:t>
            </w:r>
            <w:r>
              <w:t xml:space="preserve">  </w:t>
            </w:r>
          </w:p>
          <w:p w:rsidR="008423E4" w:rsidRPr="00835628" w:rsidRDefault="0042754C" w:rsidP="00DF7896">
            <w:pPr>
              <w:rPr>
                <w:b/>
              </w:rPr>
            </w:pPr>
          </w:p>
        </w:tc>
      </w:tr>
      <w:tr w:rsidR="00C85E5D" w:rsidTr="00345119">
        <w:tc>
          <w:tcPr>
            <w:tcW w:w="9576" w:type="dxa"/>
          </w:tcPr>
          <w:p w:rsidR="008423E4" w:rsidRPr="00A8133F" w:rsidRDefault="0042754C" w:rsidP="00DF78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E543D6" w:rsidRDefault="0042754C" w:rsidP="00DF7896">
            <w:pPr>
              <w:rPr>
                <w:sz w:val="22"/>
                <w:szCs w:val="22"/>
              </w:rPr>
            </w:pPr>
          </w:p>
          <w:p w:rsidR="008423E4" w:rsidRDefault="0042754C" w:rsidP="00DF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436886" w:rsidRPr="00233FDB" w:rsidRDefault="0042754C" w:rsidP="00DF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85E5D" w:rsidTr="00345119">
        <w:tc>
          <w:tcPr>
            <w:tcW w:w="9576" w:type="dxa"/>
          </w:tcPr>
          <w:p w:rsidR="00237010" w:rsidRDefault="0042754C" w:rsidP="00DF789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E73180" w:rsidRDefault="0042754C" w:rsidP="00DF7896">
            <w:pPr>
              <w:jc w:val="both"/>
            </w:pPr>
          </w:p>
          <w:p w:rsidR="00E73180" w:rsidRDefault="0042754C" w:rsidP="00DF7896">
            <w:pPr>
              <w:jc w:val="both"/>
            </w:pPr>
            <w:r>
              <w:t xml:space="preserve">While C.S.S.B. 1803 may differ from the engrossed in minor or </w:t>
            </w:r>
            <w:r>
              <w:t>nonsubstantive ways, the following summarizes the substantial differences between the engrossed and committee substitute versions of the bill.</w:t>
            </w:r>
          </w:p>
          <w:p w:rsidR="00E73180" w:rsidRDefault="0042754C" w:rsidP="00DF7896">
            <w:pPr>
              <w:jc w:val="both"/>
            </w:pPr>
          </w:p>
          <w:p w:rsidR="00E73180" w:rsidRDefault="0042754C" w:rsidP="00DF7896">
            <w:pPr>
              <w:jc w:val="both"/>
            </w:pPr>
            <w:r>
              <w:t xml:space="preserve">The substitute includes </w:t>
            </w:r>
            <w:r>
              <w:t>a provision</w:t>
            </w:r>
            <w:r>
              <w:t xml:space="preserve"> </w:t>
            </w:r>
            <w:r>
              <w:t xml:space="preserve">authorizing </w:t>
            </w:r>
            <w:r>
              <w:t>a judge</w:t>
            </w:r>
            <w:r>
              <w:t xml:space="preserve"> </w:t>
            </w:r>
            <w:r w:rsidRPr="00E73180">
              <w:t xml:space="preserve">to place </w:t>
            </w:r>
            <w:r>
              <w:t>a</w:t>
            </w:r>
            <w:r w:rsidRPr="00E73180">
              <w:t xml:space="preserve"> </w:t>
            </w:r>
            <w:r w:rsidRPr="00E73180">
              <w:t>defendant on community supervision</w:t>
            </w:r>
            <w:r>
              <w:t xml:space="preserve"> </w:t>
            </w:r>
            <w:r w:rsidRPr="00E73180">
              <w:t>with respe</w:t>
            </w:r>
            <w:r w:rsidRPr="00E73180">
              <w:t xml:space="preserve">ct to </w:t>
            </w:r>
            <w:r>
              <w:t xml:space="preserve">the commission of </w:t>
            </w:r>
            <w:r w:rsidRPr="00E73180">
              <w:t>an aggravated promotion of prostitution or compelling prostitution offense</w:t>
            </w:r>
            <w:r w:rsidRPr="00E73180">
              <w:t xml:space="preserve"> if the judge makes a finding that the defendant committed the offense solely as a victim of</w:t>
            </w:r>
            <w:r>
              <w:t xml:space="preserve"> certain offense</w:t>
            </w:r>
            <w:r>
              <w:t>s</w:t>
            </w:r>
            <w:r>
              <w:t>.</w:t>
            </w:r>
          </w:p>
          <w:p w:rsidR="00E73180" w:rsidRDefault="0042754C" w:rsidP="00DF7896">
            <w:pPr>
              <w:jc w:val="both"/>
            </w:pPr>
          </w:p>
          <w:p w:rsidR="00E73180" w:rsidRDefault="0042754C" w:rsidP="00DF7896">
            <w:pPr>
              <w:jc w:val="both"/>
            </w:pPr>
            <w:r>
              <w:t>The substitute includes a</w:t>
            </w:r>
            <w:r>
              <w:t xml:space="preserve"> provision making a</w:t>
            </w:r>
            <w:r>
              <w:t xml:space="preserve"> d</w:t>
            </w:r>
            <w:r>
              <w:t>efendant charged with aggravated promotion of prostitution or compelling prostitution</w:t>
            </w:r>
            <w:r>
              <w:t>, regardless of the victim's age,</w:t>
            </w:r>
            <w:r>
              <w:t xml:space="preserve"> ineligible for deferred adjudication community supervision.</w:t>
            </w:r>
          </w:p>
          <w:p w:rsidR="00E73180" w:rsidRPr="00E73180" w:rsidRDefault="0042754C" w:rsidP="00DF7896">
            <w:pPr>
              <w:jc w:val="both"/>
            </w:pPr>
          </w:p>
        </w:tc>
      </w:tr>
      <w:tr w:rsidR="00C85E5D" w:rsidTr="00345119">
        <w:tc>
          <w:tcPr>
            <w:tcW w:w="9576" w:type="dxa"/>
          </w:tcPr>
          <w:p w:rsidR="00237010" w:rsidRPr="009C1E9A" w:rsidRDefault="0042754C" w:rsidP="00DF7896">
            <w:pPr>
              <w:rPr>
                <w:b/>
                <w:u w:val="single"/>
              </w:rPr>
            </w:pPr>
          </w:p>
        </w:tc>
      </w:tr>
      <w:tr w:rsidR="00C85E5D" w:rsidTr="00345119">
        <w:tc>
          <w:tcPr>
            <w:tcW w:w="9576" w:type="dxa"/>
          </w:tcPr>
          <w:p w:rsidR="00237010" w:rsidRPr="00237010" w:rsidRDefault="0042754C" w:rsidP="00DF7896">
            <w:pPr>
              <w:jc w:val="both"/>
            </w:pPr>
          </w:p>
        </w:tc>
      </w:tr>
    </w:tbl>
    <w:p w:rsidR="004108C3" w:rsidRPr="009622FD" w:rsidRDefault="0042754C" w:rsidP="008423E4">
      <w:pPr>
        <w:rPr>
          <w:sz w:val="2"/>
          <w:szCs w:val="2"/>
        </w:rPr>
      </w:pPr>
    </w:p>
    <w:sectPr w:rsidR="004108C3" w:rsidRPr="009622F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754C">
      <w:r>
        <w:separator/>
      </w:r>
    </w:p>
  </w:endnote>
  <w:endnote w:type="continuationSeparator" w:id="0">
    <w:p w:rsidR="00000000" w:rsidRDefault="0042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7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5E5D" w:rsidTr="009C1E9A">
      <w:trPr>
        <w:cantSplit/>
      </w:trPr>
      <w:tc>
        <w:tcPr>
          <w:tcW w:w="0" w:type="pct"/>
        </w:tcPr>
        <w:p w:rsidR="00137D90" w:rsidRDefault="004275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75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75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75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75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5E5D" w:rsidTr="009C1E9A">
      <w:trPr>
        <w:cantSplit/>
      </w:trPr>
      <w:tc>
        <w:tcPr>
          <w:tcW w:w="0" w:type="pct"/>
        </w:tcPr>
        <w:p w:rsidR="00EC379B" w:rsidRDefault="004275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75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34227</w:t>
          </w:r>
        </w:p>
      </w:tc>
      <w:tc>
        <w:tcPr>
          <w:tcW w:w="2453" w:type="pct"/>
        </w:tcPr>
        <w:p w:rsidR="00EC379B" w:rsidRDefault="004275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19.135.882</w:t>
          </w:r>
          <w:r>
            <w:fldChar w:fldCharType="end"/>
          </w:r>
        </w:p>
      </w:tc>
    </w:tr>
    <w:tr w:rsidR="00C85E5D" w:rsidTr="009C1E9A">
      <w:trPr>
        <w:cantSplit/>
      </w:trPr>
      <w:tc>
        <w:tcPr>
          <w:tcW w:w="0" w:type="pct"/>
        </w:tcPr>
        <w:p w:rsidR="00EC379B" w:rsidRDefault="004275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75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32064</w:t>
          </w:r>
        </w:p>
      </w:tc>
      <w:tc>
        <w:tcPr>
          <w:tcW w:w="2453" w:type="pct"/>
        </w:tcPr>
        <w:p w:rsidR="00EC379B" w:rsidRDefault="0042754C" w:rsidP="006D504F">
          <w:pPr>
            <w:pStyle w:val="Footer"/>
            <w:rPr>
              <w:rStyle w:val="PageNumber"/>
            </w:rPr>
          </w:pPr>
        </w:p>
        <w:p w:rsidR="00EC379B" w:rsidRDefault="004275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5E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75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275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75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7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754C">
      <w:r>
        <w:separator/>
      </w:r>
    </w:p>
  </w:footnote>
  <w:footnote w:type="continuationSeparator" w:id="0">
    <w:p w:rsidR="00000000" w:rsidRDefault="0042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7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7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7E3"/>
    <w:multiLevelType w:val="hybridMultilevel"/>
    <w:tmpl w:val="78C481B4"/>
    <w:lvl w:ilvl="0" w:tplc="6D48E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80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6C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C1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1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2F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4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7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EB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5568"/>
    <w:multiLevelType w:val="hybridMultilevel"/>
    <w:tmpl w:val="7DCED16C"/>
    <w:lvl w:ilvl="0" w:tplc="C1BE36F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FD48B3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A66CB1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5C093E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B867C6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7BA809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A4C9E8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4AEA47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87C785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73387F"/>
    <w:multiLevelType w:val="hybridMultilevel"/>
    <w:tmpl w:val="559809BE"/>
    <w:lvl w:ilvl="0" w:tplc="D16A6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8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0F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AC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2C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89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64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8B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E5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D6D64"/>
    <w:multiLevelType w:val="hybridMultilevel"/>
    <w:tmpl w:val="A5B246F2"/>
    <w:lvl w:ilvl="0" w:tplc="593A7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8A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C4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A6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84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CF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C2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A9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D"/>
    <w:rsid w:val="0042754C"/>
    <w:rsid w:val="00C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659461-B79E-4BC6-9BB1-3E45E74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7B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B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B85"/>
    <w:rPr>
      <w:b/>
      <w:bCs/>
    </w:rPr>
  </w:style>
  <w:style w:type="paragraph" w:styleId="Revision">
    <w:name w:val="Revision"/>
    <w:hidden/>
    <w:uiPriority w:val="99"/>
    <w:semiHidden/>
    <w:rsid w:val="004B5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2908</Characters>
  <Application>Microsoft Office Word</Application>
  <DocSecurity>4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SB01803 (Committee Report (Substituted))</vt:lpstr>
    </vt:vector>
  </TitlesOfParts>
  <Company>State of Texas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34227</dc:subject>
  <dc:creator>State of Texas</dc:creator>
  <dc:description>SB 1803 by Huffman-(H)Criminal Jurisprudence (Substitute Document Number: 86R 32064)</dc:description>
  <cp:lastModifiedBy>Scotty Wimberley</cp:lastModifiedBy>
  <cp:revision>2</cp:revision>
  <cp:lastPrinted>2003-11-26T17:21:00Z</cp:lastPrinted>
  <dcterms:created xsi:type="dcterms:W3CDTF">2019-05-16T00:52:00Z</dcterms:created>
  <dcterms:modified xsi:type="dcterms:W3CDTF">2019-05-16T00:52:00Z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19.135.882</vt:lpwstr>
  </property>
</Properties>
</file>