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34CF" w:rsidTr="00345119">
        <w:tc>
          <w:tcPr>
            <w:tcW w:w="9576" w:type="dxa"/>
            <w:noWrap/>
          </w:tcPr>
          <w:p w:rsidR="008423E4" w:rsidRPr="0022177D" w:rsidRDefault="00967C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7C8C" w:rsidP="008423E4">
      <w:pPr>
        <w:jc w:val="center"/>
      </w:pPr>
    </w:p>
    <w:p w:rsidR="008423E4" w:rsidRPr="00B31F0E" w:rsidRDefault="00967C8C" w:rsidP="008423E4"/>
    <w:p w:rsidR="008423E4" w:rsidRPr="00742794" w:rsidRDefault="00967C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34CF" w:rsidTr="00345119">
        <w:tc>
          <w:tcPr>
            <w:tcW w:w="9576" w:type="dxa"/>
          </w:tcPr>
          <w:p w:rsidR="008423E4" w:rsidRPr="00861995" w:rsidRDefault="00967C8C" w:rsidP="00345119">
            <w:pPr>
              <w:jc w:val="right"/>
            </w:pPr>
            <w:r>
              <w:t>C.S.S.B. 1823</w:t>
            </w:r>
          </w:p>
        </w:tc>
      </w:tr>
      <w:tr w:rsidR="002E34CF" w:rsidTr="00345119">
        <w:tc>
          <w:tcPr>
            <w:tcW w:w="9576" w:type="dxa"/>
          </w:tcPr>
          <w:p w:rsidR="008423E4" w:rsidRPr="00861995" w:rsidRDefault="00967C8C" w:rsidP="004B4344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2E34CF" w:rsidTr="00345119">
        <w:tc>
          <w:tcPr>
            <w:tcW w:w="9576" w:type="dxa"/>
          </w:tcPr>
          <w:p w:rsidR="008423E4" w:rsidRPr="00861995" w:rsidRDefault="00967C8C" w:rsidP="00345119">
            <w:pPr>
              <w:jc w:val="right"/>
            </w:pPr>
            <w:r>
              <w:t>Pensions, Investments &amp; Financial Services</w:t>
            </w:r>
          </w:p>
        </w:tc>
      </w:tr>
      <w:tr w:rsidR="002E34CF" w:rsidTr="00345119">
        <w:tc>
          <w:tcPr>
            <w:tcW w:w="9576" w:type="dxa"/>
          </w:tcPr>
          <w:p w:rsidR="008423E4" w:rsidRDefault="00967C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67C8C" w:rsidP="008423E4">
      <w:pPr>
        <w:tabs>
          <w:tab w:val="right" w:pos="9360"/>
        </w:tabs>
      </w:pPr>
    </w:p>
    <w:p w:rsidR="008423E4" w:rsidRDefault="00967C8C" w:rsidP="008423E4"/>
    <w:p w:rsidR="008423E4" w:rsidRDefault="00967C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34CF" w:rsidTr="00345119">
        <w:tc>
          <w:tcPr>
            <w:tcW w:w="9576" w:type="dxa"/>
          </w:tcPr>
          <w:p w:rsidR="008423E4" w:rsidRPr="00A8133F" w:rsidRDefault="00967C8C" w:rsidP="00AC1B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7C8C" w:rsidP="00AC1BBD"/>
          <w:p w:rsidR="008423E4" w:rsidRDefault="00967C8C" w:rsidP="00AC1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there is</w:t>
            </w:r>
            <w:r w:rsidRPr="000C33F2">
              <w:t xml:space="preserve"> a need to implement certain regulatory improvements and clarifications in the law regarding state-chartered banks and trust companies, including </w:t>
            </w:r>
            <w:r>
              <w:t xml:space="preserve">as the law relates to </w:t>
            </w:r>
            <w:r w:rsidRPr="000C33F2">
              <w:t xml:space="preserve">third-party service providers. </w:t>
            </w:r>
            <w:r>
              <w:t>C.S.</w:t>
            </w:r>
            <w:r>
              <w:t>S</w:t>
            </w:r>
            <w:r>
              <w:t>.</w:t>
            </w:r>
            <w:r w:rsidRPr="000C33F2">
              <w:t>B</w:t>
            </w:r>
            <w:r>
              <w:t>.</w:t>
            </w:r>
            <w:r w:rsidRPr="000C33F2">
              <w:t xml:space="preserve"> </w:t>
            </w:r>
            <w:r>
              <w:t>1823</w:t>
            </w:r>
            <w:r w:rsidRPr="000C33F2">
              <w:t xml:space="preserve"> </w:t>
            </w:r>
            <w:r w:rsidRPr="000C33F2">
              <w:t xml:space="preserve">seeks to provide </w:t>
            </w:r>
            <w:r>
              <w:t>for those</w:t>
            </w:r>
            <w:r w:rsidRPr="000C33F2">
              <w:t xml:space="preserve"> </w:t>
            </w:r>
            <w:r w:rsidRPr="000C33F2">
              <w:t>improvements and</w:t>
            </w:r>
            <w:r w:rsidRPr="000C33F2">
              <w:t xml:space="preserve"> clarifications by enhancing confidentiality of investigatory subpoenas, clarifying the regulatory jurisdiction and authority of the banking commissioner, and narrowing exemptions from regulatory review of certain bank acquisitions.</w:t>
            </w:r>
            <w:r>
              <w:t xml:space="preserve"> </w:t>
            </w:r>
          </w:p>
          <w:p w:rsidR="008423E4" w:rsidRPr="00E26B13" w:rsidRDefault="00967C8C" w:rsidP="00AC1BBD">
            <w:pPr>
              <w:rPr>
                <w:b/>
              </w:rPr>
            </w:pPr>
          </w:p>
        </w:tc>
      </w:tr>
      <w:tr w:rsidR="002E34CF" w:rsidTr="00345119">
        <w:tc>
          <w:tcPr>
            <w:tcW w:w="9576" w:type="dxa"/>
          </w:tcPr>
          <w:p w:rsidR="0017725B" w:rsidRDefault="00967C8C" w:rsidP="00AC1B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:rsidR="0017725B" w:rsidRDefault="00967C8C" w:rsidP="00AC1BBD">
            <w:pPr>
              <w:rPr>
                <w:b/>
                <w:u w:val="single"/>
              </w:rPr>
            </w:pPr>
          </w:p>
          <w:p w:rsidR="00DB3C09" w:rsidRPr="00DB3C09" w:rsidRDefault="00967C8C" w:rsidP="00AC1BB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:rsidR="0017725B" w:rsidRPr="0017725B" w:rsidRDefault="00967C8C" w:rsidP="00AC1BBD">
            <w:pPr>
              <w:rPr>
                <w:b/>
                <w:u w:val="single"/>
              </w:rPr>
            </w:pPr>
          </w:p>
        </w:tc>
      </w:tr>
      <w:tr w:rsidR="002E34CF" w:rsidTr="00345119">
        <w:tc>
          <w:tcPr>
            <w:tcW w:w="9576" w:type="dxa"/>
          </w:tcPr>
          <w:p w:rsidR="008423E4" w:rsidRPr="00A8133F" w:rsidRDefault="00967C8C" w:rsidP="00AC1B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7C8C" w:rsidP="00AC1BBD"/>
          <w:p w:rsidR="00DB3C09" w:rsidRDefault="00967C8C" w:rsidP="00AC1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67C8C" w:rsidP="00AC1BBD">
            <w:pPr>
              <w:rPr>
                <w:b/>
              </w:rPr>
            </w:pPr>
          </w:p>
        </w:tc>
      </w:tr>
      <w:tr w:rsidR="002E34CF" w:rsidTr="00345119">
        <w:tc>
          <w:tcPr>
            <w:tcW w:w="9576" w:type="dxa"/>
          </w:tcPr>
          <w:p w:rsidR="008423E4" w:rsidRPr="00A8133F" w:rsidRDefault="00967C8C" w:rsidP="00AC1B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7C8C" w:rsidP="00AC1BBD"/>
          <w:p w:rsidR="00BB2D35" w:rsidRDefault="00967C8C" w:rsidP="00AC1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1823 </w:t>
            </w:r>
            <w:r>
              <w:t xml:space="preserve">amends the Finance Code to include in the </w:t>
            </w:r>
            <w:r>
              <w:t>definition of</w:t>
            </w:r>
            <w:r>
              <w:t xml:space="preserve"> </w:t>
            </w:r>
            <w:r>
              <w:t>"</w:t>
            </w:r>
            <w:r>
              <w:t>third-party service provider</w:t>
            </w:r>
            <w:r>
              <w:t>"</w:t>
            </w:r>
            <w:r>
              <w:t xml:space="preserve"> under </w:t>
            </w:r>
            <w:r>
              <w:t>the Texas Banking Act and the Texas Trust Company Act</w:t>
            </w:r>
            <w:r>
              <w:t xml:space="preserve">, as applicable, a person </w:t>
            </w:r>
            <w:r>
              <w:t>who</w:t>
            </w:r>
            <w:r>
              <w:t xml:space="preserve"> </w:t>
            </w:r>
            <w:r w:rsidRPr="000851EA">
              <w:t xml:space="preserve">regularly engages in the practice of assembling or evaluating, and maintaining, </w:t>
            </w:r>
            <w:r w:rsidRPr="000851EA">
              <w:t>public record information and credit account information from persons who furnish that information regularly and in the ordinary course of business</w:t>
            </w:r>
            <w:r>
              <w:t xml:space="preserve"> </w:t>
            </w:r>
            <w:r>
              <w:t xml:space="preserve">for the purpose of furnishing to </w:t>
            </w:r>
            <w:r w:rsidRPr="000851EA">
              <w:t>third parties reports indicating a person's creditworthiness, credit standi</w:t>
            </w:r>
            <w:r w:rsidRPr="000851EA">
              <w:t>ng, or credit capacity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authorizes a subpoena issued </w:t>
            </w:r>
            <w:r>
              <w:t xml:space="preserve">for purposes of </w:t>
            </w:r>
            <w:r>
              <w:t xml:space="preserve">the </w:t>
            </w:r>
            <w:r>
              <w:t xml:space="preserve">required annual examination by the banking commissioner </w:t>
            </w:r>
            <w:r>
              <w:t>of</w:t>
            </w:r>
            <w:r>
              <w:t xml:space="preserve"> each</w:t>
            </w:r>
            <w:r>
              <w:t xml:space="preserve"> </w:t>
            </w:r>
            <w:r>
              <w:t xml:space="preserve">state </w:t>
            </w:r>
            <w:r>
              <w:t>bank</w:t>
            </w:r>
            <w:r>
              <w:t xml:space="preserve"> or </w:t>
            </w:r>
            <w:r>
              <w:t xml:space="preserve">each state </w:t>
            </w:r>
            <w:r>
              <w:t xml:space="preserve">trust </w:t>
            </w:r>
            <w:r>
              <w:t>company</w:t>
            </w:r>
            <w:r>
              <w:t xml:space="preserve"> </w:t>
            </w:r>
            <w:r>
              <w:t xml:space="preserve">or </w:t>
            </w:r>
            <w:r>
              <w:t>an</w:t>
            </w:r>
            <w:r>
              <w:t xml:space="preserve"> </w:t>
            </w:r>
            <w:r>
              <w:t>investigation of unauthorized activity</w:t>
            </w:r>
            <w:r>
              <w:t xml:space="preserve"> by a bank or trust company</w:t>
            </w:r>
            <w:r>
              <w:t xml:space="preserve"> </w:t>
            </w:r>
            <w:r>
              <w:t xml:space="preserve">to provide that the person to whom the subpoena is directed or any person who </w:t>
            </w:r>
            <w:r>
              <w:t xml:space="preserve">receives </w:t>
            </w:r>
            <w:r>
              <w:t xml:space="preserve">the subpoena </w:t>
            </w:r>
            <w:r>
              <w:t>is prohibited from:</w:t>
            </w:r>
            <w:r>
              <w:t xml:space="preserve"> </w:t>
            </w:r>
          </w:p>
          <w:p w:rsidR="00BB2D35" w:rsidRDefault="00967C8C" w:rsidP="00AC1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disclosing </w:t>
            </w:r>
            <w:r>
              <w:t>that the subpoena has been issued</w:t>
            </w:r>
            <w:r>
              <w:t>;</w:t>
            </w:r>
          </w:p>
          <w:p w:rsidR="00BB2D35" w:rsidRDefault="00967C8C" w:rsidP="00AC1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disclosing </w:t>
            </w:r>
            <w:r>
              <w:t xml:space="preserve">or </w:t>
            </w:r>
            <w:r>
              <w:t xml:space="preserve">describing </w:t>
            </w:r>
            <w:r>
              <w:t>any records requested in the subpoena</w:t>
            </w:r>
            <w:r>
              <w:t>;</w:t>
            </w:r>
          </w:p>
          <w:p w:rsidR="00BB2D35" w:rsidRDefault="00967C8C" w:rsidP="00AC1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disclosing </w:t>
            </w:r>
            <w:r>
              <w:t xml:space="preserve">whether </w:t>
            </w:r>
            <w:r>
              <w:t>records have been furnished in response to the subpoena</w:t>
            </w:r>
            <w:r>
              <w:t>;</w:t>
            </w:r>
            <w:r>
              <w:t xml:space="preserve"> or </w:t>
            </w:r>
          </w:p>
          <w:p w:rsidR="00BB2D35" w:rsidRDefault="00967C8C" w:rsidP="00AC1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if applicable, </w:t>
            </w:r>
            <w:r>
              <w:t>disclos</w:t>
            </w:r>
            <w:r>
              <w:t>ing</w:t>
            </w:r>
            <w:r>
              <w:t xml:space="preserve"> </w:t>
            </w:r>
            <w:r>
              <w:t xml:space="preserve">or </w:t>
            </w:r>
            <w:r>
              <w:t>describ</w:t>
            </w:r>
            <w:r>
              <w:t>ing</w:t>
            </w:r>
            <w:r>
              <w:t xml:space="preserve"> </w:t>
            </w:r>
            <w:r>
              <w:t xml:space="preserve">any </w:t>
            </w:r>
            <w:r>
              <w:t>examination</w:t>
            </w:r>
            <w:r>
              <w:t xml:space="preserve"> of the person under oath,</w:t>
            </w:r>
            <w:r>
              <w:t xml:space="preserve"> including the questions asked, the testimony given, or the transcript produced.</w:t>
            </w:r>
            <w:r>
              <w:t xml:space="preserve"> </w:t>
            </w:r>
          </w:p>
          <w:p w:rsidR="00033418" w:rsidRDefault="00967C8C" w:rsidP="00AC1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a </w:t>
            </w:r>
            <w:r>
              <w:t>subp</w:t>
            </w:r>
            <w:r>
              <w:t>oena may</w:t>
            </w:r>
            <w:r>
              <w:t xml:space="preserve"> prohibit those disclosures</w:t>
            </w:r>
            <w:r>
              <w:t xml:space="preserve"> </w:t>
            </w:r>
            <w:r>
              <w:t>only if</w:t>
            </w:r>
            <w:r>
              <w:t xml:space="preserve"> the commissioner find</w:t>
            </w:r>
            <w:r>
              <w:t>s</w:t>
            </w:r>
            <w:r>
              <w:t>, and the subpoena stat</w:t>
            </w:r>
            <w:r>
              <w:t>es</w:t>
            </w:r>
            <w:r>
              <w:t>, that the subpoena, the examination, or the records relate to an ongoing investigation and the disclosure could significantly impede or jeopardize the investigation</w:t>
            </w:r>
            <w:r>
              <w:t>.</w:t>
            </w:r>
            <w:r>
              <w:t xml:space="preserve"> </w:t>
            </w:r>
            <w:r>
              <w:t>Subject to that limitation on disclosure, t</w:t>
            </w:r>
            <w:r>
              <w:t xml:space="preserve">he information </w:t>
            </w:r>
            <w:r>
              <w:t xml:space="preserve">may be disclosed </w:t>
            </w:r>
            <w:r>
              <w:t xml:space="preserve">to </w:t>
            </w:r>
            <w:r>
              <w:t xml:space="preserve">the extent </w:t>
            </w:r>
            <w:r>
              <w:t xml:space="preserve">that such disclosure </w:t>
            </w:r>
            <w:r>
              <w:t>is</w:t>
            </w:r>
            <w:r>
              <w:t xml:space="preserve"> </w:t>
            </w:r>
            <w:r w:rsidRPr="0039190F">
              <w:t>necessary to locate and produce responsive records or obtain legal representation</w:t>
            </w:r>
            <w:r>
              <w:t>.</w:t>
            </w:r>
          </w:p>
          <w:p w:rsidR="00B24A5E" w:rsidRDefault="00967C8C" w:rsidP="00AC1BBD">
            <w:pPr>
              <w:pStyle w:val="Header"/>
              <w:jc w:val="both"/>
            </w:pPr>
          </w:p>
          <w:p w:rsidR="009F68B3" w:rsidRDefault="00967C8C" w:rsidP="00AC1BBD">
            <w:pPr>
              <w:pStyle w:val="Header"/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1823 </w:t>
            </w:r>
            <w:r>
              <w:t xml:space="preserve">subjects a third-party service provider </w:t>
            </w:r>
            <w:r w:rsidRPr="00C870F9">
              <w:t xml:space="preserve">to </w:t>
            </w:r>
            <w:r w:rsidRPr="00C870F9">
              <w:t xml:space="preserve">an enforcement action under </w:t>
            </w:r>
            <w:r>
              <w:t>the Texas Banking Act or the Texas Trust Company Act, as applicable</w:t>
            </w:r>
            <w:r>
              <w:t>,</w:t>
            </w:r>
            <w:r>
              <w:t xml:space="preserve"> if the provider </w:t>
            </w:r>
            <w:r>
              <w:t xml:space="preserve">refuses to </w:t>
            </w:r>
            <w:r w:rsidRPr="00C870F9">
              <w:t>submit to examination</w:t>
            </w:r>
            <w:r>
              <w:t xml:space="preserve"> by the commissioner</w:t>
            </w:r>
            <w:r w:rsidRPr="00C870F9">
              <w:t xml:space="preserve"> or to pay an assessed fee for</w:t>
            </w:r>
            <w:r>
              <w:t xml:space="preserve"> </w:t>
            </w:r>
            <w:r>
              <w:t>the</w:t>
            </w:r>
            <w:r w:rsidRPr="00C870F9">
              <w:t xml:space="preserve"> examination.</w:t>
            </w:r>
            <w:r>
              <w:t xml:space="preserve"> The bill authorizes the commissioner</w:t>
            </w:r>
            <w:r>
              <w:t xml:space="preserve"> </w:t>
            </w:r>
            <w:r>
              <w:t>to</w:t>
            </w:r>
            <w:r w:rsidRPr="00C870F9">
              <w:t xml:space="preserve"> notify all state</w:t>
            </w:r>
            <w:r>
              <w:t xml:space="preserve"> banks or state</w:t>
            </w:r>
            <w:r w:rsidRPr="00C870F9">
              <w:t xml:space="preserve"> trust companies</w:t>
            </w:r>
            <w:r>
              <w:t xml:space="preserve"> </w:t>
            </w:r>
            <w:r w:rsidRPr="00C870F9">
              <w:t xml:space="preserve">of </w:t>
            </w:r>
            <w:r>
              <w:t>any such</w:t>
            </w:r>
            <w:r w:rsidRPr="00C870F9">
              <w:t xml:space="preserve"> </w:t>
            </w:r>
            <w:r w:rsidRPr="00C870F9">
              <w:t xml:space="preserve">refusal and warn that continued use of the third-party service provider may constitute an unsafe and unsound </w:t>
            </w:r>
            <w:r>
              <w:t xml:space="preserve">banking or </w:t>
            </w:r>
            <w:r w:rsidRPr="00C870F9">
              <w:t>fiduciary practice.</w:t>
            </w:r>
            <w:r>
              <w:t xml:space="preserve"> </w:t>
            </w:r>
          </w:p>
          <w:p w:rsidR="009F68B3" w:rsidRDefault="00967C8C" w:rsidP="00AC1BBD">
            <w:pPr>
              <w:pStyle w:val="Header"/>
              <w:jc w:val="both"/>
            </w:pPr>
          </w:p>
          <w:p w:rsidR="00C870F9" w:rsidRDefault="00967C8C" w:rsidP="00AC1BBD">
            <w:pPr>
              <w:pStyle w:val="Header"/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1823 </w:t>
            </w:r>
            <w:r>
              <w:t>conditions the exemption from certain t</w:t>
            </w:r>
            <w:r>
              <w:t>ransfer of ownership interest requirements without prior written approval of the commissioner for a transaction relating to the acquisition of bank holding companies on:</w:t>
            </w:r>
          </w:p>
          <w:p w:rsidR="002E54A1" w:rsidRDefault="00967C8C" w:rsidP="00AC1BB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acquiring bank holding company currently owning and controlling a state bank; or</w:t>
            </w:r>
          </w:p>
          <w:p w:rsidR="009F68B3" w:rsidRDefault="00967C8C" w:rsidP="00AC1BB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post-transaction controlling person having previously complied with and received approval as a controlling person or being identified as the controlling person in a merger or other acquisition-related application filed with the commissioner concurrentl</w:t>
            </w:r>
            <w:r>
              <w:t>y with the required submission.</w:t>
            </w:r>
          </w:p>
          <w:p w:rsidR="00106552" w:rsidRDefault="00967C8C" w:rsidP="00AC1BBD">
            <w:pPr>
              <w:pStyle w:val="Header"/>
              <w:spacing w:before="120"/>
              <w:jc w:val="both"/>
            </w:pPr>
            <w:r>
              <w:t xml:space="preserve">The bill removes the minimum administrative penalty imposed by the commissioner on a bank, trust company, or other person </w:t>
            </w:r>
            <w:r>
              <w:t>for</w:t>
            </w:r>
            <w:r>
              <w:t xml:space="preserve"> </w:t>
            </w:r>
            <w:r>
              <w:t>a</w:t>
            </w:r>
            <w:r>
              <w:t xml:space="preserve"> violation under the Texas Banking Act or the Texas Trust Company Act, as applicable. </w:t>
            </w:r>
          </w:p>
          <w:p w:rsidR="008423E4" w:rsidRPr="00835628" w:rsidRDefault="00967C8C" w:rsidP="00AC1BBD">
            <w:pPr>
              <w:rPr>
                <w:b/>
              </w:rPr>
            </w:pPr>
          </w:p>
        </w:tc>
      </w:tr>
      <w:tr w:rsidR="002E34CF" w:rsidTr="00345119">
        <w:tc>
          <w:tcPr>
            <w:tcW w:w="9576" w:type="dxa"/>
          </w:tcPr>
          <w:p w:rsidR="008423E4" w:rsidRPr="00A8133F" w:rsidRDefault="00967C8C" w:rsidP="00AC1B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967C8C" w:rsidP="00AC1BBD"/>
          <w:p w:rsidR="008423E4" w:rsidRPr="003624F2" w:rsidRDefault="00967C8C" w:rsidP="00AC1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67C8C" w:rsidP="00AC1BBD">
            <w:pPr>
              <w:rPr>
                <w:b/>
              </w:rPr>
            </w:pPr>
          </w:p>
        </w:tc>
      </w:tr>
      <w:tr w:rsidR="002E34CF" w:rsidTr="00345119">
        <w:tc>
          <w:tcPr>
            <w:tcW w:w="9576" w:type="dxa"/>
          </w:tcPr>
          <w:p w:rsidR="004B4344" w:rsidRDefault="00967C8C" w:rsidP="00AC1B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0851EA" w:rsidRDefault="00967C8C" w:rsidP="00AC1BBD">
            <w:pPr>
              <w:jc w:val="both"/>
            </w:pPr>
          </w:p>
          <w:p w:rsidR="000851EA" w:rsidRDefault="00967C8C" w:rsidP="00AC1BBD">
            <w:pPr>
              <w:jc w:val="both"/>
            </w:pPr>
            <w:r>
              <w:t>While C.S.S.B. 1823 may differ from the engrossed in minor or nonsubstantive ways, the following summarizes the substantial differences between the engrossed and committee substit</w:t>
            </w:r>
            <w:r>
              <w:t>ute versions of the bill.</w:t>
            </w:r>
          </w:p>
          <w:p w:rsidR="000851EA" w:rsidRDefault="00967C8C" w:rsidP="00AC1BBD">
            <w:pPr>
              <w:jc w:val="both"/>
            </w:pPr>
          </w:p>
          <w:p w:rsidR="000851EA" w:rsidRDefault="00967C8C" w:rsidP="00AC1BBD">
            <w:pPr>
              <w:jc w:val="both"/>
            </w:pPr>
            <w:r>
              <w:t xml:space="preserve">The substitute revises the definition of "third-party service provider" </w:t>
            </w:r>
            <w:r>
              <w:t>relating to who is a credit reporting agency</w:t>
            </w:r>
            <w:r>
              <w:t>.</w:t>
            </w:r>
          </w:p>
          <w:p w:rsidR="000851EA" w:rsidRPr="000851EA" w:rsidRDefault="00967C8C" w:rsidP="00AC1BBD">
            <w:pPr>
              <w:jc w:val="both"/>
            </w:pPr>
          </w:p>
        </w:tc>
      </w:tr>
      <w:tr w:rsidR="002E34CF" w:rsidTr="00345119">
        <w:tc>
          <w:tcPr>
            <w:tcW w:w="9576" w:type="dxa"/>
          </w:tcPr>
          <w:p w:rsidR="004B4344" w:rsidRPr="009C1E9A" w:rsidRDefault="00967C8C" w:rsidP="00AC1BBD">
            <w:pPr>
              <w:rPr>
                <w:b/>
                <w:u w:val="single"/>
              </w:rPr>
            </w:pPr>
          </w:p>
        </w:tc>
      </w:tr>
      <w:tr w:rsidR="002E34CF" w:rsidTr="00345119">
        <w:tc>
          <w:tcPr>
            <w:tcW w:w="9576" w:type="dxa"/>
          </w:tcPr>
          <w:p w:rsidR="004B4344" w:rsidRPr="004B4344" w:rsidRDefault="00967C8C" w:rsidP="00AC1BBD">
            <w:pPr>
              <w:jc w:val="both"/>
            </w:pPr>
          </w:p>
        </w:tc>
      </w:tr>
    </w:tbl>
    <w:p w:rsidR="008423E4" w:rsidRPr="00BE0E75" w:rsidRDefault="00967C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7C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7C8C">
      <w:r>
        <w:separator/>
      </w:r>
    </w:p>
  </w:endnote>
  <w:endnote w:type="continuationSeparator" w:id="0">
    <w:p w:rsidR="00000000" w:rsidRDefault="0096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34CF" w:rsidTr="009C1E9A">
      <w:trPr>
        <w:cantSplit/>
      </w:trPr>
      <w:tc>
        <w:tcPr>
          <w:tcW w:w="0" w:type="pct"/>
        </w:tcPr>
        <w:p w:rsidR="00137D90" w:rsidRDefault="0096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7C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7C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4CF" w:rsidTr="009C1E9A">
      <w:trPr>
        <w:cantSplit/>
      </w:trPr>
      <w:tc>
        <w:tcPr>
          <w:tcW w:w="0" w:type="pct"/>
        </w:tcPr>
        <w:p w:rsidR="00EC379B" w:rsidRDefault="00967C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7C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29128</w:t>
          </w:r>
        </w:p>
      </w:tc>
      <w:tc>
        <w:tcPr>
          <w:tcW w:w="2453" w:type="pct"/>
        </w:tcPr>
        <w:p w:rsidR="00EC379B" w:rsidRDefault="0096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19.113.1312</w:t>
          </w:r>
          <w:r>
            <w:fldChar w:fldCharType="end"/>
          </w:r>
        </w:p>
      </w:tc>
    </w:tr>
    <w:tr w:rsidR="002E34CF" w:rsidTr="009C1E9A">
      <w:trPr>
        <w:cantSplit/>
      </w:trPr>
      <w:tc>
        <w:tcPr>
          <w:tcW w:w="0" w:type="pct"/>
        </w:tcPr>
        <w:p w:rsidR="00EC379B" w:rsidRDefault="00967C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7C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22445</w:t>
          </w:r>
        </w:p>
      </w:tc>
      <w:tc>
        <w:tcPr>
          <w:tcW w:w="2453" w:type="pct"/>
        </w:tcPr>
        <w:p w:rsidR="00EC379B" w:rsidRDefault="00967C8C" w:rsidP="006D504F">
          <w:pPr>
            <w:pStyle w:val="Footer"/>
            <w:rPr>
              <w:rStyle w:val="PageNumber"/>
            </w:rPr>
          </w:pPr>
        </w:p>
        <w:p w:rsidR="00EC379B" w:rsidRDefault="00967C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4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7C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67C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7C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7C8C">
      <w:r>
        <w:separator/>
      </w:r>
    </w:p>
  </w:footnote>
  <w:footnote w:type="continuationSeparator" w:id="0">
    <w:p w:rsidR="00000000" w:rsidRDefault="0096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3C"/>
    <w:multiLevelType w:val="hybridMultilevel"/>
    <w:tmpl w:val="2FFC4F9C"/>
    <w:lvl w:ilvl="0" w:tplc="EDF43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1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45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AC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A8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A3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E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7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22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435C"/>
    <w:multiLevelType w:val="hybridMultilevel"/>
    <w:tmpl w:val="D8D046E4"/>
    <w:lvl w:ilvl="0" w:tplc="F600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CE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AD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E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F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C1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F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45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DCE"/>
    <w:multiLevelType w:val="hybridMultilevel"/>
    <w:tmpl w:val="A822A51E"/>
    <w:lvl w:ilvl="0" w:tplc="7A1AA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B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C4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26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88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A8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07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61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1110"/>
    <w:multiLevelType w:val="hybridMultilevel"/>
    <w:tmpl w:val="82B0FB6E"/>
    <w:lvl w:ilvl="0" w:tplc="C75A5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20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6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8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29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6C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CF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25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F"/>
    <w:rsid w:val="002E34CF"/>
    <w:rsid w:val="009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49A97-06D8-458E-B21C-860E60C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70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0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0F9"/>
    <w:rPr>
      <w:b/>
      <w:bCs/>
    </w:rPr>
  </w:style>
  <w:style w:type="character" w:styleId="Hyperlink">
    <w:name w:val="Hyperlink"/>
    <w:basedOn w:val="DefaultParagraphFont"/>
    <w:unhideWhenUsed/>
    <w:rsid w:val="003E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3942</Characters>
  <Application>Microsoft Office Word</Application>
  <DocSecurity>4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SB01823 (Committee Report (Substituted))</vt:lpstr>
    </vt:vector>
  </TitlesOfParts>
  <Company>State of Texas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29128</dc:subject>
  <dc:creator>State of Texas</dc:creator>
  <dc:description>SB 1823 by Campbell-(H)Pensions, Investments &amp; Financial Services (Substitute Document Number: 86R 22445)</dc:description>
  <cp:lastModifiedBy>Scotty Wimberley</cp:lastModifiedBy>
  <cp:revision>2</cp:revision>
  <cp:lastPrinted>2019-02-25T19:01:00Z</cp:lastPrinted>
  <dcterms:created xsi:type="dcterms:W3CDTF">2019-04-24T16:01:00Z</dcterms:created>
  <dcterms:modified xsi:type="dcterms:W3CDTF">2019-04-24T16:01:00Z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19.113.1312</vt:lpwstr>
  </property>
</Properties>
</file>