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842701" w:rsidTr="00345119">
        <w:tc>
          <w:tcPr>
            <w:tcW w:w="9576" w:type="dxa"/>
            <w:noWrap/>
          </w:tcPr>
          <w:p w:rsidR="008423E4" w:rsidRPr="0022177D" w:rsidRDefault="00BB3A87" w:rsidP="00345119">
            <w:pPr>
              <w:pStyle w:val="Heading1"/>
            </w:pPr>
            <w:bookmarkStart w:id="0" w:name="_GoBack"/>
            <w:bookmarkEnd w:id="0"/>
            <w:r w:rsidRPr="00631897">
              <w:t>BILL ANALYSIS</w:t>
            </w:r>
          </w:p>
        </w:tc>
      </w:tr>
    </w:tbl>
    <w:p w:rsidR="008423E4" w:rsidRPr="0022177D" w:rsidRDefault="00BB3A87" w:rsidP="008423E4">
      <w:pPr>
        <w:jc w:val="center"/>
      </w:pPr>
    </w:p>
    <w:p w:rsidR="008423E4" w:rsidRPr="00B31F0E" w:rsidRDefault="00BB3A87" w:rsidP="008423E4"/>
    <w:p w:rsidR="008423E4" w:rsidRPr="00742794" w:rsidRDefault="00BB3A87" w:rsidP="008423E4">
      <w:pPr>
        <w:tabs>
          <w:tab w:val="right" w:pos="9360"/>
        </w:tabs>
      </w:pPr>
    </w:p>
    <w:tbl>
      <w:tblPr>
        <w:tblW w:w="0" w:type="auto"/>
        <w:tblLayout w:type="fixed"/>
        <w:tblLook w:val="01E0" w:firstRow="1" w:lastRow="1" w:firstColumn="1" w:lastColumn="1" w:noHBand="0" w:noVBand="0"/>
      </w:tblPr>
      <w:tblGrid>
        <w:gridCol w:w="9576"/>
      </w:tblGrid>
      <w:tr w:rsidR="00842701" w:rsidTr="00345119">
        <w:tc>
          <w:tcPr>
            <w:tcW w:w="9576" w:type="dxa"/>
          </w:tcPr>
          <w:p w:rsidR="008423E4" w:rsidRPr="00861995" w:rsidRDefault="00BB3A87" w:rsidP="00345119">
            <w:pPr>
              <w:jc w:val="right"/>
            </w:pPr>
            <w:r>
              <w:t>S.B. 1824</w:t>
            </w:r>
          </w:p>
        </w:tc>
      </w:tr>
      <w:tr w:rsidR="00842701" w:rsidTr="00345119">
        <w:tc>
          <w:tcPr>
            <w:tcW w:w="9576" w:type="dxa"/>
          </w:tcPr>
          <w:p w:rsidR="008423E4" w:rsidRPr="00861995" w:rsidRDefault="00BB3A87" w:rsidP="00226F29">
            <w:pPr>
              <w:jc w:val="right"/>
            </w:pPr>
            <w:r>
              <w:t xml:space="preserve">By: </w:t>
            </w:r>
            <w:r>
              <w:t>Perry</w:t>
            </w:r>
          </w:p>
        </w:tc>
      </w:tr>
      <w:tr w:rsidR="00842701" w:rsidTr="00345119">
        <w:tc>
          <w:tcPr>
            <w:tcW w:w="9576" w:type="dxa"/>
          </w:tcPr>
          <w:p w:rsidR="008423E4" w:rsidRPr="00861995" w:rsidRDefault="00BB3A87" w:rsidP="00345119">
            <w:pPr>
              <w:jc w:val="right"/>
            </w:pPr>
            <w:r>
              <w:t>Ways &amp; Means</w:t>
            </w:r>
          </w:p>
        </w:tc>
      </w:tr>
      <w:tr w:rsidR="00842701" w:rsidTr="00345119">
        <w:tc>
          <w:tcPr>
            <w:tcW w:w="9576" w:type="dxa"/>
          </w:tcPr>
          <w:p w:rsidR="008423E4" w:rsidRDefault="00BB3A87" w:rsidP="00345119">
            <w:pPr>
              <w:jc w:val="right"/>
            </w:pPr>
            <w:r>
              <w:t>Committee Report (Unamended)</w:t>
            </w:r>
          </w:p>
        </w:tc>
      </w:tr>
    </w:tbl>
    <w:p w:rsidR="008423E4" w:rsidRDefault="00BB3A87" w:rsidP="008423E4">
      <w:pPr>
        <w:tabs>
          <w:tab w:val="right" w:pos="9360"/>
        </w:tabs>
      </w:pPr>
    </w:p>
    <w:p w:rsidR="008423E4" w:rsidRDefault="00BB3A87" w:rsidP="008423E4"/>
    <w:p w:rsidR="008423E4" w:rsidRDefault="00BB3A87" w:rsidP="008423E4"/>
    <w:tbl>
      <w:tblPr>
        <w:tblW w:w="0" w:type="auto"/>
        <w:tblCellMar>
          <w:left w:w="115" w:type="dxa"/>
          <w:right w:w="115" w:type="dxa"/>
        </w:tblCellMar>
        <w:tblLook w:val="01E0" w:firstRow="1" w:lastRow="1" w:firstColumn="1" w:lastColumn="1" w:noHBand="0" w:noVBand="0"/>
      </w:tblPr>
      <w:tblGrid>
        <w:gridCol w:w="9576"/>
      </w:tblGrid>
      <w:tr w:rsidR="00842701" w:rsidTr="00345119">
        <w:tc>
          <w:tcPr>
            <w:tcW w:w="9576" w:type="dxa"/>
          </w:tcPr>
          <w:p w:rsidR="008423E4" w:rsidRPr="00A8133F" w:rsidRDefault="00BB3A87" w:rsidP="00C213BC">
            <w:pPr>
              <w:rPr>
                <w:b/>
              </w:rPr>
            </w:pPr>
            <w:r w:rsidRPr="009C1E9A">
              <w:rPr>
                <w:b/>
                <w:u w:val="single"/>
              </w:rPr>
              <w:t>BACKGROUND AND PURPOSE</w:t>
            </w:r>
            <w:r>
              <w:rPr>
                <w:b/>
              </w:rPr>
              <w:t xml:space="preserve"> </w:t>
            </w:r>
          </w:p>
          <w:p w:rsidR="008423E4" w:rsidRDefault="00BB3A87" w:rsidP="00C213BC"/>
          <w:p w:rsidR="008423E4" w:rsidRDefault="00BB3A87" w:rsidP="00C213BC">
            <w:pPr>
              <w:pStyle w:val="Header"/>
              <w:jc w:val="both"/>
            </w:pPr>
            <w:r>
              <w:t>A performing rights society</w:t>
            </w:r>
            <w:r>
              <w:t xml:space="preserve">, </w:t>
            </w:r>
            <w:r>
              <w:t>also called a performing rights organization</w:t>
            </w:r>
            <w:r>
              <w:t xml:space="preserve">, </w:t>
            </w:r>
            <w:r>
              <w:t xml:space="preserve">licenses public performances of copyrighted musical works. </w:t>
            </w:r>
            <w:r>
              <w:t>Some c</w:t>
            </w:r>
            <w:r>
              <w:t>omposers, songwriters, and music publishers grant the</w:t>
            </w:r>
            <w:r>
              <w:t xml:space="preserve">se organizations </w:t>
            </w:r>
            <w:r>
              <w:t>the right to license musical performances on their behalf</w:t>
            </w:r>
            <w:r>
              <w:t xml:space="preserve">, </w:t>
            </w:r>
            <w:r>
              <w:t xml:space="preserve">and the organizations </w:t>
            </w:r>
            <w:r>
              <w:t xml:space="preserve">then </w:t>
            </w:r>
            <w:r>
              <w:t xml:space="preserve">issue licenses to </w:t>
            </w:r>
            <w:r>
              <w:t>entities such as</w:t>
            </w:r>
            <w:r>
              <w:t xml:space="preserve"> restaurants, retail stores, and radio and television stations. </w:t>
            </w:r>
            <w:r>
              <w:t>It</w:t>
            </w:r>
            <w:r>
              <w:t xml:space="preserve"> has been suggested that certain payments made by these organizations to the copyright holders should be excluded from the total revenue of the organization for purposes of computing the franchise tax. </w:t>
            </w:r>
            <w:r>
              <w:t>S.B. 1824</w:t>
            </w:r>
            <w:r>
              <w:t xml:space="preserve"> seeks to address this issue by providing for</w:t>
            </w:r>
            <w:r>
              <w:t xml:space="preserve"> this exclusion</w:t>
            </w:r>
            <w:r>
              <w:t>.</w:t>
            </w:r>
          </w:p>
          <w:p w:rsidR="008423E4" w:rsidRPr="00E26B13" w:rsidRDefault="00BB3A87" w:rsidP="00C213BC">
            <w:pPr>
              <w:rPr>
                <w:b/>
              </w:rPr>
            </w:pPr>
          </w:p>
        </w:tc>
      </w:tr>
      <w:tr w:rsidR="00842701" w:rsidTr="00345119">
        <w:tc>
          <w:tcPr>
            <w:tcW w:w="9576" w:type="dxa"/>
          </w:tcPr>
          <w:p w:rsidR="0017725B" w:rsidRDefault="00BB3A87" w:rsidP="00C213BC">
            <w:pPr>
              <w:rPr>
                <w:b/>
                <w:u w:val="single"/>
              </w:rPr>
            </w:pPr>
            <w:r>
              <w:rPr>
                <w:b/>
                <w:u w:val="single"/>
              </w:rPr>
              <w:t>CRIMINAL JUSTICE IMPACT</w:t>
            </w:r>
          </w:p>
          <w:p w:rsidR="0017725B" w:rsidRDefault="00BB3A87" w:rsidP="00C213BC">
            <w:pPr>
              <w:rPr>
                <w:b/>
                <w:u w:val="single"/>
              </w:rPr>
            </w:pPr>
          </w:p>
          <w:p w:rsidR="00710405" w:rsidRPr="00710405" w:rsidRDefault="00BB3A87" w:rsidP="00C213BC">
            <w:pPr>
              <w:jc w:val="both"/>
            </w:pPr>
            <w:r>
              <w:t>It is the committee's opinion that this bill does not expressly create a criminal offense, increase the punishment for an existing criminal offense or category of offenses, or change the eligibility of a person f</w:t>
            </w:r>
            <w:r>
              <w:t>or community supervision, parole, or mandatory supervision.</w:t>
            </w:r>
          </w:p>
          <w:p w:rsidR="0017725B" w:rsidRPr="0017725B" w:rsidRDefault="00BB3A87" w:rsidP="00C213BC">
            <w:pPr>
              <w:rPr>
                <w:b/>
                <w:u w:val="single"/>
              </w:rPr>
            </w:pPr>
          </w:p>
        </w:tc>
      </w:tr>
      <w:tr w:rsidR="00842701" w:rsidTr="00345119">
        <w:tc>
          <w:tcPr>
            <w:tcW w:w="9576" w:type="dxa"/>
          </w:tcPr>
          <w:p w:rsidR="008423E4" w:rsidRPr="00A8133F" w:rsidRDefault="00BB3A87" w:rsidP="00C213BC">
            <w:pPr>
              <w:rPr>
                <w:b/>
              </w:rPr>
            </w:pPr>
            <w:r w:rsidRPr="009C1E9A">
              <w:rPr>
                <w:b/>
                <w:u w:val="single"/>
              </w:rPr>
              <w:t>RULEMAKING AUTHORITY</w:t>
            </w:r>
            <w:r>
              <w:rPr>
                <w:b/>
              </w:rPr>
              <w:t xml:space="preserve"> </w:t>
            </w:r>
          </w:p>
          <w:p w:rsidR="008423E4" w:rsidRDefault="00BB3A87" w:rsidP="00C213BC"/>
          <w:p w:rsidR="00710405" w:rsidRDefault="00BB3A87" w:rsidP="00C213BC">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BB3A87" w:rsidP="00C213BC">
            <w:pPr>
              <w:rPr>
                <w:b/>
              </w:rPr>
            </w:pPr>
          </w:p>
        </w:tc>
      </w:tr>
      <w:tr w:rsidR="00842701" w:rsidTr="00345119">
        <w:tc>
          <w:tcPr>
            <w:tcW w:w="9576" w:type="dxa"/>
          </w:tcPr>
          <w:p w:rsidR="008423E4" w:rsidRPr="00A8133F" w:rsidRDefault="00BB3A87" w:rsidP="00C213BC">
            <w:pPr>
              <w:rPr>
                <w:b/>
              </w:rPr>
            </w:pPr>
            <w:r w:rsidRPr="009C1E9A">
              <w:rPr>
                <w:b/>
                <w:u w:val="single"/>
              </w:rPr>
              <w:t>ANALYSIS</w:t>
            </w:r>
            <w:r>
              <w:rPr>
                <w:b/>
              </w:rPr>
              <w:t xml:space="preserve"> </w:t>
            </w:r>
          </w:p>
          <w:p w:rsidR="008423E4" w:rsidRDefault="00BB3A87" w:rsidP="00C213BC"/>
          <w:p w:rsidR="008423E4" w:rsidRDefault="00BB3A87" w:rsidP="008A4735">
            <w:pPr>
              <w:pStyle w:val="Header"/>
              <w:tabs>
                <w:tab w:val="clear" w:pos="4320"/>
                <w:tab w:val="clear" w:pos="8640"/>
              </w:tabs>
              <w:jc w:val="both"/>
            </w:pPr>
            <w:r>
              <w:t>S.B. 1824</w:t>
            </w:r>
            <w:r>
              <w:t xml:space="preserve"> amends the Tax Code to require an </w:t>
            </w:r>
            <w:r w:rsidRPr="00710405">
              <w:t>entity</w:t>
            </w:r>
            <w:r>
              <w:t xml:space="preserve"> </w:t>
            </w:r>
            <w:r>
              <w:t xml:space="preserve">that is </w:t>
            </w:r>
            <w:r>
              <w:t>subject to the franchise tax</w:t>
            </w:r>
            <w:r w:rsidRPr="00710405">
              <w:t xml:space="preserve"> </w:t>
            </w:r>
            <w:r>
              <w:t xml:space="preserve">and </w:t>
            </w:r>
            <w:r w:rsidRPr="00710405">
              <w:t>is a performing rights society that licenses the public performance of nondramatic musical works on behalf of a copyright owner</w:t>
            </w:r>
            <w:r>
              <w:t xml:space="preserve"> to exclude from its total</w:t>
            </w:r>
            <w:r>
              <w:t xml:space="preserve"> revenue</w:t>
            </w:r>
            <w:r>
              <w:t>, for purposes of calculating such tax,</w:t>
            </w:r>
            <w:r>
              <w:t xml:space="preserve"> </w:t>
            </w:r>
            <w:r w:rsidRPr="00710405">
              <w:t xml:space="preserve">payments made to the public performance rights holder and </w:t>
            </w:r>
            <w:r>
              <w:t xml:space="preserve">the </w:t>
            </w:r>
            <w:r w:rsidRPr="00710405">
              <w:t>copyright owner for whom the entity licenses the public performance.</w:t>
            </w:r>
            <w:r>
              <w:t xml:space="preserve"> </w:t>
            </w:r>
          </w:p>
          <w:p w:rsidR="008423E4" w:rsidRPr="00835628" w:rsidRDefault="00BB3A87" w:rsidP="00C213BC">
            <w:pPr>
              <w:rPr>
                <w:b/>
              </w:rPr>
            </w:pPr>
          </w:p>
        </w:tc>
      </w:tr>
      <w:tr w:rsidR="00842701" w:rsidTr="00345119">
        <w:tc>
          <w:tcPr>
            <w:tcW w:w="9576" w:type="dxa"/>
          </w:tcPr>
          <w:p w:rsidR="008423E4" w:rsidRPr="00A8133F" w:rsidRDefault="00BB3A87" w:rsidP="00C213BC">
            <w:pPr>
              <w:rPr>
                <w:b/>
              </w:rPr>
            </w:pPr>
            <w:r w:rsidRPr="009C1E9A">
              <w:rPr>
                <w:b/>
                <w:u w:val="single"/>
              </w:rPr>
              <w:t>EFFECTIVE DATE</w:t>
            </w:r>
            <w:r>
              <w:rPr>
                <w:b/>
              </w:rPr>
              <w:t xml:space="preserve"> </w:t>
            </w:r>
          </w:p>
          <w:p w:rsidR="008423E4" w:rsidRDefault="00BB3A87"/>
          <w:p w:rsidR="008423E4" w:rsidRPr="003624F2" w:rsidRDefault="00BB3A87">
            <w:pPr>
              <w:pStyle w:val="Header"/>
              <w:tabs>
                <w:tab w:val="clear" w:pos="4320"/>
                <w:tab w:val="clear" w:pos="8640"/>
              </w:tabs>
              <w:jc w:val="both"/>
            </w:pPr>
            <w:r>
              <w:t>On passage, or, if the bill does not receive the necessar</w:t>
            </w:r>
            <w:r>
              <w:t>y vote, September 1, 2019.</w:t>
            </w:r>
          </w:p>
          <w:p w:rsidR="008423E4" w:rsidRPr="00233FDB" w:rsidRDefault="00BB3A87">
            <w:pPr>
              <w:rPr>
                <w:b/>
              </w:rPr>
            </w:pPr>
          </w:p>
        </w:tc>
      </w:tr>
    </w:tbl>
    <w:p w:rsidR="008423E4" w:rsidRPr="00BE0E75" w:rsidRDefault="00BB3A87" w:rsidP="008423E4">
      <w:pPr>
        <w:spacing w:line="480" w:lineRule="auto"/>
        <w:jc w:val="both"/>
        <w:rPr>
          <w:rFonts w:ascii="Arial" w:hAnsi="Arial"/>
          <w:sz w:val="16"/>
          <w:szCs w:val="16"/>
        </w:rPr>
      </w:pPr>
    </w:p>
    <w:p w:rsidR="004108C3" w:rsidRPr="008423E4" w:rsidRDefault="00BB3A87"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B3A87">
      <w:r>
        <w:separator/>
      </w:r>
    </w:p>
  </w:endnote>
  <w:endnote w:type="continuationSeparator" w:id="0">
    <w:p w:rsidR="00000000" w:rsidRDefault="00BB3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1F3" w:rsidRDefault="00BB3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42701" w:rsidTr="009C1E9A">
      <w:trPr>
        <w:cantSplit/>
      </w:trPr>
      <w:tc>
        <w:tcPr>
          <w:tcW w:w="0" w:type="pct"/>
        </w:tcPr>
        <w:p w:rsidR="00137D90" w:rsidRDefault="00BB3A87" w:rsidP="009C1E9A">
          <w:pPr>
            <w:pStyle w:val="Footer"/>
            <w:tabs>
              <w:tab w:val="clear" w:pos="8640"/>
              <w:tab w:val="right" w:pos="9360"/>
            </w:tabs>
          </w:pPr>
        </w:p>
      </w:tc>
      <w:tc>
        <w:tcPr>
          <w:tcW w:w="2395" w:type="pct"/>
        </w:tcPr>
        <w:p w:rsidR="00137D90" w:rsidRDefault="00BB3A87" w:rsidP="009C1E9A">
          <w:pPr>
            <w:pStyle w:val="Footer"/>
            <w:tabs>
              <w:tab w:val="clear" w:pos="8640"/>
              <w:tab w:val="right" w:pos="9360"/>
            </w:tabs>
          </w:pPr>
        </w:p>
        <w:p w:rsidR="001A4310" w:rsidRDefault="00BB3A87" w:rsidP="009C1E9A">
          <w:pPr>
            <w:pStyle w:val="Footer"/>
            <w:tabs>
              <w:tab w:val="clear" w:pos="8640"/>
              <w:tab w:val="right" w:pos="9360"/>
            </w:tabs>
          </w:pPr>
        </w:p>
        <w:p w:rsidR="00137D90" w:rsidRDefault="00BB3A87" w:rsidP="009C1E9A">
          <w:pPr>
            <w:pStyle w:val="Footer"/>
            <w:tabs>
              <w:tab w:val="clear" w:pos="8640"/>
              <w:tab w:val="right" w:pos="9360"/>
            </w:tabs>
          </w:pPr>
        </w:p>
      </w:tc>
      <w:tc>
        <w:tcPr>
          <w:tcW w:w="2453" w:type="pct"/>
        </w:tcPr>
        <w:p w:rsidR="00137D90" w:rsidRDefault="00BB3A87" w:rsidP="009C1E9A">
          <w:pPr>
            <w:pStyle w:val="Footer"/>
            <w:tabs>
              <w:tab w:val="clear" w:pos="8640"/>
              <w:tab w:val="right" w:pos="9360"/>
            </w:tabs>
            <w:jc w:val="right"/>
          </w:pPr>
        </w:p>
      </w:tc>
    </w:tr>
    <w:tr w:rsidR="00842701" w:rsidTr="009C1E9A">
      <w:trPr>
        <w:cantSplit/>
      </w:trPr>
      <w:tc>
        <w:tcPr>
          <w:tcW w:w="0" w:type="pct"/>
        </w:tcPr>
        <w:p w:rsidR="00EC379B" w:rsidRDefault="00BB3A87" w:rsidP="009C1E9A">
          <w:pPr>
            <w:pStyle w:val="Footer"/>
            <w:tabs>
              <w:tab w:val="clear" w:pos="8640"/>
              <w:tab w:val="right" w:pos="9360"/>
            </w:tabs>
          </w:pPr>
        </w:p>
      </w:tc>
      <w:tc>
        <w:tcPr>
          <w:tcW w:w="2395" w:type="pct"/>
        </w:tcPr>
        <w:p w:rsidR="00EC379B" w:rsidRPr="009C1E9A" w:rsidRDefault="00BB3A87" w:rsidP="009C1E9A">
          <w:pPr>
            <w:pStyle w:val="Footer"/>
            <w:tabs>
              <w:tab w:val="clear" w:pos="8640"/>
              <w:tab w:val="right" w:pos="9360"/>
            </w:tabs>
            <w:rPr>
              <w:rFonts w:ascii="Shruti" w:hAnsi="Shruti"/>
              <w:sz w:val="22"/>
            </w:rPr>
          </w:pPr>
          <w:r>
            <w:rPr>
              <w:rFonts w:ascii="Shruti" w:hAnsi="Shruti"/>
              <w:sz w:val="22"/>
            </w:rPr>
            <w:t>86R 32593</w:t>
          </w:r>
        </w:p>
      </w:tc>
      <w:tc>
        <w:tcPr>
          <w:tcW w:w="2453" w:type="pct"/>
        </w:tcPr>
        <w:p w:rsidR="00EC379B" w:rsidRDefault="00BB3A87" w:rsidP="009C1E9A">
          <w:pPr>
            <w:pStyle w:val="Footer"/>
            <w:tabs>
              <w:tab w:val="clear" w:pos="8640"/>
              <w:tab w:val="right" w:pos="9360"/>
            </w:tabs>
            <w:jc w:val="right"/>
          </w:pPr>
          <w:r>
            <w:fldChar w:fldCharType="begin"/>
          </w:r>
          <w:r>
            <w:instrText xml:space="preserve"> DOCPROPERTY  OTID  \* MERGEFORMAT </w:instrText>
          </w:r>
          <w:r>
            <w:fldChar w:fldCharType="separate"/>
          </w:r>
          <w:r>
            <w:t>19.128.561</w:t>
          </w:r>
          <w:r>
            <w:fldChar w:fldCharType="end"/>
          </w:r>
        </w:p>
      </w:tc>
    </w:tr>
    <w:tr w:rsidR="00842701" w:rsidTr="009C1E9A">
      <w:trPr>
        <w:cantSplit/>
      </w:trPr>
      <w:tc>
        <w:tcPr>
          <w:tcW w:w="0" w:type="pct"/>
        </w:tcPr>
        <w:p w:rsidR="00EC379B" w:rsidRDefault="00BB3A87" w:rsidP="009C1E9A">
          <w:pPr>
            <w:pStyle w:val="Footer"/>
            <w:tabs>
              <w:tab w:val="clear" w:pos="4320"/>
              <w:tab w:val="clear" w:pos="8640"/>
              <w:tab w:val="left" w:pos="2865"/>
            </w:tabs>
          </w:pPr>
        </w:p>
      </w:tc>
      <w:tc>
        <w:tcPr>
          <w:tcW w:w="2395" w:type="pct"/>
        </w:tcPr>
        <w:p w:rsidR="00EC379B" w:rsidRPr="009C1E9A" w:rsidRDefault="00BB3A87" w:rsidP="009C1E9A">
          <w:pPr>
            <w:pStyle w:val="Footer"/>
            <w:tabs>
              <w:tab w:val="clear" w:pos="4320"/>
              <w:tab w:val="clear" w:pos="8640"/>
              <w:tab w:val="left" w:pos="2865"/>
            </w:tabs>
            <w:rPr>
              <w:rFonts w:ascii="Shruti" w:hAnsi="Shruti"/>
              <w:sz w:val="22"/>
            </w:rPr>
          </w:pPr>
        </w:p>
      </w:tc>
      <w:tc>
        <w:tcPr>
          <w:tcW w:w="2453" w:type="pct"/>
        </w:tcPr>
        <w:p w:rsidR="00EC379B" w:rsidRDefault="00BB3A87" w:rsidP="006D504F">
          <w:pPr>
            <w:pStyle w:val="Footer"/>
            <w:rPr>
              <w:rStyle w:val="PageNumber"/>
            </w:rPr>
          </w:pPr>
        </w:p>
        <w:p w:rsidR="00EC379B" w:rsidRDefault="00BB3A87" w:rsidP="009C1E9A">
          <w:pPr>
            <w:pStyle w:val="Footer"/>
            <w:tabs>
              <w:tab w:val="clear" w:pos="8640"/>
              <w:tab w:val="right" w:pos="9360"/>
            </w:tabs>
            <w:jc w:val="right"/>
          </w:pPr>
        </w:p>
      </w:tc>
    </w:tr>
    <w:tr w:rsidR="00842701" w:rsidTr="009C1E9A">
      <w:trPr>
        <w:cantSplit/>
        <w:trHeight w:val="323"/>
      </w:trPr>
      <w:tc>
        <w:tcPr>
          <w:tcW w:w="0" w:type="pct"/>
          <w:gridSpan w:val="3"/>
        </w:tcPr>
        <w:p w:rsidR="00EC379B" w:rsidRDefault="00BB3A8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B3A87" w:rsidP="009C1E9A">
          <w:pPr>
            <w:pStyle w:val="Footer"/>
            <w:tabs>
              <w:tab w:val="clear" w:pos="8640"/>
              <w:tab w:val="right" w:pos="9360"/>
            </w:tabs>
            <w:jc w:val="center"/>
          </w:pPr>
        </w:p>
      </w:tc>
    </w:tr>
  </w:tbl>
  <w:p w:rsidR="00EC379B" w:rsidRPr="00FF6F72" w:rsidRDefault="00BB3A87"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1F3" w:rsidRDefault="00BB3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B3A87">
      <w:r>
        <w:separator/>
      </w:r>
    </w:p>
  </w:footnote>
  <w:footnote w:type="continuationSeparator" w:id="0">
    <w:p w:rsidR="00000000" w:rsidRDefault="00BB3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1F3" w:rsidRDefault="00BB3A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1F3" w:rsidRDefault="00BB3A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1F3" w:rsidRDefault="00BB3A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701"/>
    <w:rsid w:val="00842701"/>
    <w:rsid w:val="00BB3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08FD38-1958-4E0C-BEFE-1254B4ED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10405"/>
    <w:rPr>
      <w:sz w:val="16"/>
      <w:szCs w:val="16"/>
    </w:rPr>
  </w:style>
  <w:style w:type="paragraph" w:styleId="CommentText">
    <w:name w:val="annotation text"/>
    <w:basedOn w:val="Normal"/>
    <w:link w:val="CommentTextChar"/>
    <w:semiHidden/>
    <w:unhideWhenUsed/>
    <w:rsid w:val="00710405"/>
    <w:rPr>
      <w:sz w:val="20"/>
      <w:szCs w:val="20"/>
    </w:rPr>
  </w:style>
  <w:style w:type="character" w:customStyle="1" w:styleId="CommentTextChar">
    <w:name w:val="Comment Text Char"/>
    <w:basedOn w:val="DefaultParagraphFont"/>
    <w:link w:val="CommentText"/>
    <w:semiHidden/>
    <w:rsid w:val="00710405"/>
  </w:style>
  <w:style w:type="paragraph" w:styleId="CommentSubject">
    <w:name w:val="annotation subject"/>
    <w:basedOn w:val="CommentText"/>
    <w:next w:val="CommentText"/>
    <w:link w:val="CommentSubjectChar"/>
    <w:semiHidden/>
    <w:unhideWhenUsed/>
    <w:rsid w:val="00710405"/>
    <w:rPr>
      <w:b/>
      <w:bCs/>
    </w:rPr>
  </w:style>
  <w:style w:type="character" w:customStyle="1" w:styleId="CommentSubjectChar">
    <w:name w:val="Comment Subject Char"/>
    <w:basedOn w:val="CommentTextChar"/>
    <w:link w:val="CommentSubject"/>
    <w:semiHidden/>
    <w:rsid w:val="007104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1509</Characters>
  <Application>Microsoft Office Word</Application>
  <DocSecurity>4</DocSecurity>
  <Lines>46</Lines>
  <Paragraphs>15</Paragraphs>
  <ScaleCrop>false</ScaleCrop>
  <HeadingPairs>
    <vt:vector size="2" baseType="variant">
      <vt:variant>
        <vt:lpstr>Title</vt:lpstr>
      </vt:variant>
      <vt:variant>
        <vt:i4>1</vt:i4>
      </vt:variant>
    </vt:vector>
  </HeadingPairs>
  <TitlesOfParts>
    <vt:vector size="1" baseType="lpstr">
      <vt:lpstr>BA - HB04198 (Committee Report (Unamended))</vt:lpstr>
    </vt:vector>
  </TitlesOfParts>
  <Company>State of Texas</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32593</dc:subject>
  <dc:creator>State of Texas</dc:creator>
  <dc:description>SB 1824 by Perry-(H)Ways &amp; Means</dc:description>
  <cp:lastModifiedBy>Erin Conway</cp:lastModifiedBy>
  <cp:revision>2</cp:revision>
  <cp:lastPrinted>2003-11-26T17:21:00Z</cp:lastPrinted>
  <dcterms:created xsi:type="dcterms:W3CDTF">2019-05-10T22:02:00Z</dcterms:created>
  <dcterms:modified xsi:type="dcterms:W3CDTF">2019-05-10T22:02:00Z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19.128.561</vt:lpwstr>
  </property>
</Properties>
</file>