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6BBD" w:rsidTr="00345119">
        <w:tc>
          <w:tcPr>
            <w:tcW w:w="9576" w:type="dxa"/>
            <w:noWrap/>
          </w:tcPr>
          <w:p w:rsidR="008423E4" w:rsidRPr="0022177D" w:rsidRDefault="00F66E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6E37" w:rsidP="008423E4">
      <w:pPr>
        <w:jc w:val="center"/>
      </w:pPr>
    </w:p>
    <w:p w:rsidR="008423E4" w:rsidRPr="00B31F0E" w:rsidRDefault="00F66E37" w:rsidP="008423E4"/>
    <w:p w:rsidR="008423E4" w:rsidRPr="00742794" w:rsidRDefault="00F66E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6BBD" w:rsidTr="00345119">
        <w:tc>
          <w:tcPr>
            <w:tcW w:w="9576" w:type="dxa"/>
          </w:tcPr>
          <w:p w:rsidR="008423E4" w:rsidRPr="00861995" w:rsidRDefault="00F66E37" w:rsidP="00345119">
            <w:pPr>
              <w:jc w:val="right"/>
            </w:pPr>
            <w:r>
              <w:t>C.S.S.B. 1827</w:t>
            </w:r>
          </w:p>
        </w:tc>
      </w:tr>
      <w:tr w:rsidR="00376BBD" w:rsidTr="00345119">
        <w:tc>
          <w:tcPr>
            <w:tcW w:w="9576" w:type="dxa"/>
          </w:tcPr>
          <w:p w:rsidR="008423E4" w:rsidRPr="00861995" w:rsidRDefault="00F66E37" w:rsidP="00942696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376BBD" w:rsidTr="00345119">
        <w:tc>
          <w:tcPr>
            <w:tcW w:w="9576" w:type="dxa"/>
          </w:tcPr>
          <w:p w:rsidR="008423E4" w:rsidRPr="00861995" w:rsidRDefault="00F66E37" w:rsidP="00345119">
            <w:pPr>
              <w:jc w:val="right"/>
            </w:pPr>
            <w:r>
              <w:t>Public Health</w:t>
            </w:r>
          </w:p>
        </w:tc>
      </w:tr>
      <w:tr w:rsidR="00376BBD" w:rsidTr="00345119">
        <w:tc>
          <w:tcPr>
            <w:tcW w:w="9576" w:type="dxa"/>
          </w:tcPr>
          <w:p w:rsidR="008423E4" w:rsidRDefault="00F66E3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6E37" w:rsidP="008423E4">
      <w:pPr>
        <w:tabs>
          <w:tab w:val="right" w:pos="9360"/>
        </w:tabs>
      </w:pPr>
    </w:p>
    <w:p w:rsidR="008423E4" w:rsidRDefault="00F66E37" w:rsidP="008423E4"/>
    <w:p w:rsidR="008423E4" w:rsidRDefault="00F66E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6BBD" w:rsidTr="00345119">
        <w:tc>
          <w:tcPr>
            <w:tcW w:w="9576" w:type="dxa"/>
          </w:tcPr>
          <w:p w:rsidR="008423E4" w:rsidRPr="00A8133F" w:rsidRDefault="00F66E37" w:rsidP="00F06E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6E37" w:rsidP="00F06E46"/>
          <w:p w:rsidR="008423E4" w:rsidRDefault="00F66E37" w:rsidP="00F06E46">
            <w:pPr>
              <w:pStyle w:val="Header"/>
              <w:jc w:val="both"/>
            </w:pPr>
            <w:r>
              <w:t>It has been noted that, w</w:t>
            </w:r>
            <w:r>
              <w:t>hen people experience an allergic reaction</w:t>
            </w:r>
            <w:r>
              <w:t xml:space="preserve"> or anaphylaxis from bee stings, drug reactions, food allergies, or other induced shock</w:t>
            </w:r>
            <w:r>
              <w:t>, epinephrine is a common drug that helps combat the symptoms</w:t>
            </w:r>
            <w:r>
              <w:t xml:space="preserve"> and that</w:t>
            </w:r>
            <w:r>
              <w:t xml:space="preserve"> </w:t>
            </w:r>
            <w:r w:rsidRPr="00732080">
              <w:t>epinephrine auto-injectors</w:t>
            </w:r>
            <w:r>
              <w:t xml:space="preserve"> </w:t>
            </w:r>
            <w:r>
              <w:t xml:space="preserve">are used to reverse the effects of </w:t>
            </w:r>
            <w:r>
              <w:t xml:space="preserve">these </w:t>
            </w:r>
            <w:r>
              <w:t xml:space="preserve">reactions. </w:t>
            </w:r>
            <w:r>
              <w:t>It has also been no</w:t>
            </w:r>
            <w:r>
              <w:t>ted that</w:t>
            </w:r>
            <w:r>
              <w:t xml:space="preserve"> peace officers in Texas are not allowed to administer epinephrine to individuals who are </w:t>
            </w:r>
            <w:r>
              <w:t>experiencing a life-threatening allergic reaction, even though they are often the first on the scene when an emergency call is made</w:t>
            </w:r>
            <w:r>
              <w:t xml:space="preserve">. </w:t>
            </w:r>
            <w:r>
              <w:t>C.S.</w:t>
            </w:r>
            <w:r>
              <w:t xml:space="preserve">S.B. 1827 </w:t>
            </w:r>
            <w:r>
              <w:t>seeks to ad</w:t>
            </w:r>
            <w:r>
              <w:t xml:space="preserve">dress this issue by </w:t>
            </w:r>
            <w:r>
              <w:t>providing for</w:t>
            </w:r>
            <w:r>
              <w:t xml:space="preserve"> peace officer </w:t>
            </w:r>
            <w:r>
              <w:t xml:space="preserve">administration of </w:t>
            </w:r>
            <w:r>
              <w:t>an epinephrine auto-injector to an individual who is in an emergency situation</w:t>
            </w:r>
            <w:r>
              <w:t xml:space="preserve"> and for the possession of </w:t>
            </w:r>
            <w:r w:rsidRPr="0083363A">
              <w:t>epinephrine auto</w:t>
            </w:r>
            <w:r>
              <w:noBreakHyphen/>
            </w:r>
            <w:r>
              <w:t>injectors by law enforcement agencies</w:t>
            </w:r>
            <w:r>
              <w:t xml:space="preserve">. </w:t>
            </w:r>
          </w:p>
          <w:p w:rsidR="008423E4" w:rsidRPr="00E26B13" w:rsidRDefault="00F66E37" w:rsidP="00F06E46">
            <w:pPr>
              <w:rPr>
                <w:b/>
              </w:rPr>
            </w:pPr>
          </w:p>
        </w:tc>
      </w:tr>
      <w:tr w:rsidR="00376BBD" w:rsidTr="00345119">
        <w:tc>
          <w:tcPr>
            <w:tcW w:w="9576" w:type="dxa"/>
          </w:tcPr>
          <w:p w:rsidR="0017725B" w:rsidRDefault="00F66E37" w:rsidP="00F06E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6E37" w:rsidP="00F06E46">
            <w:pPr>
              <w:rPr>
                <w:b/>
                <w:u w:val="single"/>
              </w:rPr>
            </w:pPr>
          </w:p>
          <w:p w:rsidR="0094689C" w:rsidRPr="0094689C" w:rsidRDefault="00F66E37" w:rsidP="00F06E4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F66E37" w:rsidP="00F06E46">
            <w:pPr>
              <w:rPr>
                <w:b/>
                <w:u w:val="single"/>
              </w:rPr>
            </w:pPr>
          </w:p>
        </w:tc>
      </w:tr>
      <w:tr w:rsidR="00376BBD" w:rsidTr="00345119">
        <w:tc>
          <w:tcPr>
            <w:tcW w:w="9576" w:type="dxa"/>
          </w:tcPr>
          <w:p w:rsidR="008423E4" w:rsidRPr="00A8133F" w:rsidRDefault="00F66E37" w:rsidP="00F06E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6E37" w:rsidP="00F06E46"/>
          <w:p w:rsidR="0094689C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6E37" w:rsidP="00F06E46">
            <w:pPr>
              <w:rPr>
                <w:b/>
              </w:rPr>
            </w:pPr>
          </w:p>
        </w:tc>
      </w:tr>
      <w:tr w:rsidR="00376BBD" w:rsidTr="00345119">
        <w:tc>
          <w:tcPr>
            <w:tcW w:w="9576" w:type="dxa"/>
          </w:tcPr>
          <w:p w:rsidR="008423E4" w:rsidRPr="00A8133F" w:rsidRDefault="00F66E37" w:rsidP="00F06E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6E37" w:rsidP="00F06E46"/>
          <w:p w:rsidR="00067D01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1827</w:t>
            </w:r>
            <w:r>
              <w:t xml:space="preserve"> amends the Occupations Code to </w:t>
            </w:r>
            <w:r>
              <w:t>require the Texas Commission on Law Enforcement</w:t>
            </w:r>
            <w:r>
              <w:t xml:space="preserve"> (TCOLE)</w:t>
            </w:r>
            <w:r w:rsidRPr="0094689C">
              <w:t>, in consultation with the Department of State Health Services</w:t>
            </w:r>
            <w:r>
              <w:t xml:space="preserve"> (DSHS)</w:t>
            </w:r>
            <w:r w:rsidRPr="0094689C">
              <w:t xml:space="preserve">, </w:t>
            </w:r>
            <w:r>
              <w:t>to</w:t>
            </w:r>
            <w:r w:rsidRPr="0094689C">
              <w:t xml:space="preserve"> approve a training course on the administration of </w:t>
            </w:r>
            <w:r>
              <w:t xml:space="preserve">an </w:t>
            </w:r>
            <w:r w:rsidRPr="0094689C">
              <w:t>epinephrine auto-injector</w:t>
            </w:r>
            <w:r>
              <w:t>. The bill autho</w:t>
            </w:r>
            <w:r>
              <w:t>rizes a law enforcement agency to acquire and possess</w:t>
            </w:r>
            <w:r>
              <w:t xml:space="preserve"> </w:t>
            </w:r>
            <w:r w:rsidRPr="00732080">
              <w:t>epinephrine auto-injectors</w:t>
            </w:r>
            <w:r>
              <w:t xml:space="preserve"> and</w:t>
            </w:r>
            <w:r w:rsidRPr="0094689C">
              <w:t xml:space="preserve"> </w:t>
            </w:r>
            <w:r>
              <w:t>authorize</w:t>
            </w:r>
            <w:r>
              <w:t>s</w:t>
            </w:r>
            <w:r>
              <w:t xml:space="preserve"> a peace officer </w:t>
            </w:r>
            <w:r>
              <w:t xml:space="preserve">who has successfully </w:t>
            </w:r>
            <w:r>
              <w:t xml:space="preserve">completed </w:t>
            </w:r>
            <w:r>
              <w:t xml:space="preserve">training in the use of such </w:t>
            </w:r>
            <w:r>
              <w:t>devices</w:t>
            </w:r>
            <w:r>
              <w:t xml:space="preserve"> in a </w:t>
            </w:r>
            <w:r>
              <w:t xml:space="preserve">TCOLE-approved course </w:t>
            </w:r>
            <w:r>
              <w:t xml:space="preserve">to possess and administer </w:t>
            </w:r>
            <w:r>
              <w:t xml:space="preserve">an </w:t>
            </w:r>
            <w:r w:rsidRPr="0094689C">
              <w:t>epinephrine auto-inje</w:t>
            </w:r>
            <w:r w:rsidRPr="0094689C">
              <w:t xml:space="preserve">ctor </w:t>
            </w:r>
            <w:r>
              <w:t>in accordance with the bill's provisions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authorizes</w:t>
            </w:r>
            <w:r>
              <w:t xml:space="preserve"> a</w:t>
            </w:r>
            <w:r w:rsidRPr="00732080">
              <w:t xml:space="preserve"> physician, or a person who has been delegated prescriptive authority </w:t>
            </w:r>
            <w:r>
              <w:t>by a physician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067D01">
              <w:t xml:space="preserve">prescribe epinephrine auto-injectors in the name of a </w:t>
            </w:r>
            <w:r>
              <w:t xml:space="preserve">law enforcement agency and requires the physician or other person to </w:t>
            </w:r>
            <w:r w:rsidRPr="00067D01">
              <w:t xml:space="preserve">provide the agency with a standing order for </w:t>
            </w:r>
            <w:r w:rsidRPr="000A4698">
              <w:t>such</w:t>
            </w:r>
            <w:r w:rsidRPr="000A4698">
              <w:t xml:space="preserve"> administration</w:t>
            </w:r>
            <w:r w:rsidRPr="00067D01">
              <w:t xml:space="preserve"> to a person reasonably believed </w:t>
            </w:r>
            <w:r>
              <w:t>to be experiencing anaphylaxis. The bill establishes that the standing order is not requir</w:t>
            </w:r>
            <w:r>
              <w:t>ed to be patient-specific and that a</w:t>
            </w:r>
            <w:r w:rsidRPr="00067D01">
              <w:t xml:space="preserve">n epinephrine auto-injector may be administered under </w:t>
            </w:r>
            <w:r>
              <w:t>the bill's provisions</w:t>
            </w:r>
            <w:r w:rsidRPr="00067D01">
              <w:t xml:space="preserve"> </w:t>
            </w:r>
            <w:r>
              <w:t xml:space="preserve">to a person </w:t>
            </w:r>
            <w:r w:rsidRPr="00067D01">
              <w:t>without a previously established physician-patient relationship.</w:t>
            </w:r>
            <w:r>
              <w:t xml:space="preserve"> The bill sets out the conditions under which</w:t>
            </w:r>
            <w:r>
              <w:t xml:space="preserve"> supervision or delegat</w:t>
            </w:r>
            <w:r>
              <w:t xml:space="preserve">ion by a physician is considered adequate and </w:t>
            </w:r>
            <w:r>
              <w:t xml:space="preserve">sets out </w:t>
            </w:r>
            <w:r>
              <w:t xml:space="preserve">the required contents of the standing order. The bill authorizes a pharmacist to dispense </w:t>
            </w:r>
            <w:r w:rsidRPr="00B568CB">
              <w:t>an epinephrine auto</w:t>
            </w:r>
            <w:r>
              <w:noBreakHyphen/>
            </w:r>
            <w:r w:rsidRPr="00B568CB">
              <w:t>injector to a law enforcement agency without requiring the name of or any other identifying</w:t>
            </w:r>
            <w:r w:rsidRPr="00B568CB">
              <w:t xml:space="preserve"> information relating to the user.</w:t>
            </w:r>
            <w:r>
              <w:t xml:space="preserve"> </w:t>
            </w:r>
          </w:p>
          <w:p w:rsidR="00B568CB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F5440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1827 requires </w:t>
            </w:r>
            <w:r>
              <w:t>a law enforcement agency that acquires and possesses epinephrine auto</w:t>
            </w:r>
            <w:r>
              <w:noBreakHyphen/>
            </w:r>
            <w:r>
              <w:t>injectors to adopt and implement a policy regarding the maintenance, administration, and disposal of the auto-injectors</w:t>
            </w:r>
            <w:r>
              <w:t>. The b</w:t>
            </w:r>
            <w:r>
              <w:t>ill</w:t>
            </w:r>
            <w:r>
              <w:t xml:space="preserve"> requires the policy</w:t>
            </w:r>
            <w:r>
              <w:t xml:space="preserve"> to </w:t>
            </w:r>
            <w:r>
              <w:t xml:space="preserve">require that the auto-injectors be stored in a secure location and to </w:t>
            </w:r>
            <w:r>
              <w:t xml:space="preserve">establish a process for </w:t>
            </w:r>
            <w:r>
              <w:t xml:space="preserve">the </w:t>
            </w:r>
            <w:r>
              <w:t>agency to check the inventory of</w:t>
            </w:r>
            <w:r>
              <w:t xml:space="preserve"> </w:t>
            </w:r>
            <w:r>
              <w:t>auto-injectors at regular intervals for expiration and replacement</w:t>
            </w:r>
            <w:r>
              <w:t xml:space="preserve">. </w:t>
            </w:r>
          </w:p>
          <w:p w:rsidR="00DF5440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71C41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1827</w:t>
            </w:r>
            <w:r>
              <w:t xml:space="preserve"> requires a law</w:t>
            </w:r>
            <w:r>
              <w:t xml:space="preserve"> enforcement agency, after an officer administers an</w:t>
            </w:r>
            <w:r>
              <w:t xml:space="preserve"> epinephrine</w:t>
            </w:r>
            <w:r>
              <w:t xml:space="preserve"> auto-injector, to notify the physician or other person who prescribed the auto-injector of the age of the person to whom it was administered and the number of doses administered to the person</w:t>
            </w:r>
            <w:r>
              <w:t xml:space="preserve">. The bill authorizes a law enforcement agency to accept gifts, grants, donations, and federal and local money to implement the bill's provisions. </w:t>
            </w:r>
            <w:r>
              <w:t>The bill establishes</w:t>
            </w:r>
            <w:r>
              <w:t xml:space="preserve"> the following:</w:t>
            </w:r>
            <w:r>
              <w:t xml:space="preserve"> </w:t>
            </w:r>
          </w:p>
          <w:p w:rsidR="00D71C41" w:rsidRDefault="00F66E37" w:rsidP="00F06E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that</w:t>
            </w:r>
            <w:r w:rsidRPr="0094689C">
              <w:t xml:space="preserve"> a peace officer</w:t>
            </w:r>
            <w:r>
              <w:t>'s</w:t>
            </w:r>
            <w:r w:rsidRPr="0094689C">
              <w:t xml:space="preserve"> </w:t>
            </w:r>
            <w:r w:rsidRPr="0094689C">
              <w:t xml:space="preserve">administration </w:t>
            </w:r>
            <w:r>
              <w:t xml:space="preserve">of an epinephrine auto-injector </w:t>
            </w:r>
            <w:r>
              <w:t>to</w:t>
            </w:r>
            <w:r>
              <w:t xml:space="preserve"> a person </w:t>
            </w:r>
            <w:r>
              <w:t xml:space="preserve">in </w:t>
            </w:r>
            <w:r>
              <w:t>accordance with the</w:t>
            </w:r>
            <w:r>
              <w:t xml:space="preserve"> bill's</w:t>
            </w:r>
            <w:r>
              <w:t xml:space="preserve"> requirements </w:t>
            </w:r>
            <w:r>
              <w:t xml:space="preserve">or TCOLE rules </w:t>
            </w:r>
            <w:r w:rsidRPr="0094689C">
              <w:t>does not constitute the unlawful practice of any health care profession</w:t>
            </w:r>
            <w:r>
              <w:t>;</w:t>
            </w:r>
          </w:p>
          <w:p w:rsidR="00D71C41" w:rsidRDefault="00F66E37" w:rsidP="00F06E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that a person </w:t>
            </w:r>
            <w:r w:rsidRPr="009A2DFA">
              <w:t>who in good faith takes, or fails to take, action relating to the prescription of an epinephrine auto</w:t>
            </w:r>
            <w:r w:rsidRPr="009A2DFA">
              <w:t>-injector to a law enforcement agency or the administration of an epinephrine auto-injector by a peace officer is immune from civil or criminal liability or disciplinary action resulting from that action or failure to act</w:t>
            </w:r>
            <w:r>
              <w:t xml:space="preserve">; </w:t>
            </w:r>
          </w:p>
          <w:p w:rsidR="00D71C41" w:rsidRDefault="00F66E37" w:rsidP="00F06E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that the </w:t>
            </w:r>
            <w:r w:rsidRPr="009A2DFA">
              <w:t xml:space="preserve">immunities and protections provided by </w:t>
            </w:r>
            <w:r>
              <w:t>the bill</w:t>
            </w:r>
            <w:r w:rsidRPr="009A2DFA">
              <w:t xml:space="preserve"> are in addition to other immunities or limitations of liability provided by law</w:t>
            </w:r>
            <w:r>
              <w:t>; and</w:t>
            </w:r>
          </w:p>
          <w:p w:rsidR="009E6064" w:rsidRDefault="00F66E37" w:rsidP="00F06E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that an </w:t>
            </w:r>
            <w:r w:rsidRPr="009E6064">
              <w:t xml:space="preserve">act or omission described by </w:t>
            </w:r>
            <w:r>
              <w:t>the bill</w:t>
            </w:r>
            <w:r w:rsidRPr="009E6064">
              <w:t xml:space="preserve"> do</w:t>
            </w:r>
            <w:r>
              <w:t>es not create a cause of action</w:t>
            </w:r>
            <w:r w:rsidRPr="009A2DFA">
              <w:t xml:space="preserve">. </w:t>
            </w:r>
          </w:p>
          <w:p w:rsidR="007A737B" w:rsidRDefault="00F66E37" w:rsidP="00F06E4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</w:t>
            </w:r>
            <w:r>
              <w:t>'s provisions</w:t>
            </w:r>
            <w:r>
              <w:t xml:space="preserve"> expressly do not:</w:t>
            </w:r>
            <w:r>
              <w:t xml:space="preserve"> </w:t>
            </w:r>
          </w:p>
          <w:p w:rsidR="007A737B" w:rsidRDefault="00F66E37" w:rsidP="00F06E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create a civil, criminal, or administrative cause of action or liability;</w:t>
            </w:r>
          </w:p>
          <w:p w:rsidR="007A737B" w:rsidRDefault="00F66E37" w:rsidP="00F06E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create a standard of care, obligation, or duty that provides a basis for a cause of action for an act or omission under </w:t>
            </w:r>
            <w:r>
              <w:t>the bill</w:t>
            </w:r>
            <w:r>
              <w:t>’s provisions</w:t>
            </w:r>
            <w:r>
              <w:t xml:space="preserve">; </w:t>
            </w:r>
            <w:r>
              <w:t>or</w:t>
            </w:r>
            <w:r>
              <w:t xml:space="preserve"> </w:t>
            </w:r>
          </w:p>
          <w:p w:rsidR="009A2DFA" w:rsidRDefault="00F66E37" w:rsidP="00F06E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waive governmental immunity from su</w:t>
            </w:r>
            <w:r>
              <w:t>it or liability.</w:t>
            </w:r>
          </w:p>
          <w:p w:rsidR="008423E4" w:rsidRPr="00835628" w:rsidRDefault="00F66E37" w:rsidP="00F06E46">
            <w:pPr>
              <w:rPr>
                <w:b/>
              </w:rPr>
            </w:pPr>
          </w:p>
        </w:tc>
      </w:tr>
      <w:tr w:rsidR="00376BBD" w:rsidTr="00345119">
        <w:tc>
          <w:tcPr>
            <w:tcW w:w="9576" w:type="dxa"/>
          </w:tcPr>
          <w:p w:rsidR="008423E4" w:rsidRPr="00A8133F" w:rsidRDefault="00F66E37" w:rsidP="00F06E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6E37" w:rsidP="00F06E46"/>
          <w:p w:rsidR="008423E4" w:rsidRPr="003624F2" w:rsidRDefault="00F66E37" w:rsidP="00F06E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66E37" w:rsidP="00F06E46">
            <w:pPr>
              <w:rPr>
                <w:b/>
              </w:rPr>
            </w:pPr>
          </w:p>
        </w:tc>
      </w:tr>
      <w:tr w:rsidR="00376BBD" w:rsidTr="00345119">
        <w:tc>
          <w:tcPr>
            <w:tcW w:w="9576" w:type="dxa"/>
          </w:tcPr>
          <w:p w:rsidR="00942696" w:rsidRDefault="00F66E37" w:rsidP="00F06E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997DB6" w:rsidRDefault="00F66E37" w:rsidP="00F06E46">
            <w:pPr>
              <w:jc w:val="both"/>
            </w:pPr>
          </w:p>
          <w:p w:rsidR="00997DB6" w:rsidRDefault="00F66E37" w:rsidP="00F06E46">
            <w:pPr>
              <w:jc w:val="both"/>
            </w:pPr>
            <w:r>
              <w:t xml:space="preserve">While C.S.S.B. 1827 may differ from the engrossed in minor or nonsubstantive ways, the following summarizes the substantial differences between the </w:t>
            </w:r>
            <w:r>
              <w:t>engrossed and committee substitute versions of the bill.</w:t>
            </w:r>
          </w:p>
          <w:p w:rsidR="00997DB6" w:rsidRDefault="00F66E37" w:rsidP="00F06E46">
            <w:pPr>
              <w:jc w:val="both"/>
            </w:pPr>
          </w:p>
          <w:p w:rsidR="00997DB6" w:rsidRDefault="00F66E37" w:rsidP="00F06E46">
            <w:pPr>
              <w:jc w:val="both"/>
            </w:pPr>
            <w:r>
              <w:t xml:space="preserve">The substitute includes the following provisions: </w:t>
            </w:r>
          </w:p>
          <w:p w:rsidR="00997DB6" w:rsidRDefault="00F66E37" w:rsidP="00F06E4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 w:rsidRPr="000A4698">
              <w:t>a</w:t>
            </w:r>
            <w:r>
              <w:t xml:space="preserve"> provision limiting</w:t>
            </w:r>
            <w:r w:rsidRPr="000A4698">
              <w:t xml:space="preserve"> the </w:t>
            </w:r>
            <w:r w:rsidRPr="005228E3">
              <w:t>authori</w:t>
            </w:r>
            <w:r>
              <w:t>ty</w:t>
            </w:r>
            <w:r w:rsidRPr="000A4698">
              <w:t xml:space="preserve"> </w:t>
            </w:r>
            <w:r w:rsidRPr="000A4698">
              <w:t xml:space="preserve">of a peace officer to possess and administer an epinephrine auto-injector </w:t>
            </w:r>
            <w:r>
              <w:t>to</w:t>
            </w:r>
            <w:r w:rsidRPr="000A4698">
              <w:t xml:space="preserve"> officer</w:t>
            </w:r>
            <w:r>
              <w:t>s who</w:t>
            </w:r>
            <w:r w:rsidRPr="000A4698">
              <w:t xml:space="preserve"> ha</w:t>
            </w:r>
            <w:r>
              <w:t>ve</w:t>
            </w:r>
            <w:r w:rsidRPr="000A4698">
              <w:t xml:space="preserve"> successfully completed training in the use of the device</w:t>
            </w:r>
            <w:r>
              <w:t xml:space="preserve"> in a TCOLE-approved course</w:t>
            </w:r>
            <w:r w:rsidRPr="000A4698">
              <w:t>;</w:t>
            </w:r>
          </w:p>
          <w:p w:rsidR="00997DB6" w:rsidRDefault="00F66E37" w:rsidP="00F06E4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</w:t>
            </w:r>
            <w:r>
              <w:t>ement</w:t>
            </w:r>
            <w:r>
              <w:t>s</w:t>
            </w:r>
            <w:r>
              <w:t xml:space="preserve"> for</w:t>
            </w:r>
            <w:r>
              <w:t xml:space="preserve"> a law enforcement agency that acquires and possesses epinephrine auto</w:t>
            </w:r>
            <w:r>
              <w:noBreakHyphen/>
            </w:r>
            <w:r>
              <w:t>injectors to adopt and implement a p</w:t>
            </w:r>
            <w:r w:rsidRPr="005228E3">
              <w:t>olicy</w:t>
            </w:r>
            <w:r>
              <w:t xml:space="preserve"> regarding the maintenance, administration</w:t>
            </w:r>
            <w:r>
              <w:t xml:space="preserve">, and disposal of the </w:t>
            </w:r>
            <w:r>
              <w:t>auto-injectors</w:t>
            </w:r>
            <w:r>
              <w:t xml:space="preserve"> and for the policy to </w:t>
            </w:r>
            <w:r>
              <w:t>include</w:t>
            </w:r>
            <w:r>
              <w:t xml:space="preserve"> a certain inventory process and secure storage requirement</w:t>
            </w:r>
            <w:r>
              <w:t xml:space="preserve">; </w:t>
            </w:r>
          </w:p>
          <w:p w:rsidR="00997DB6" w:rsidRPr="005228E3" w:rsidRDefault="00F66E37" w:rsidP="00F06E4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requirement for</w:t>
            </w:r>
            <w:r>
              <w:t xml:space="preserve"> a law enforcement agency, after</w:t>
            </w:r>
            <w:r>
              <w:t xml:space="preserve"> an officer administers an epinephrine auto-</w:t>
            </w:r>
            <w:r w:rsidRPr="005228E3">
              <w:t>injector</w:t>
            </w:r>
            <w:r w:rsidRPr="005228E3">
              <w:t>,</w:t>
            </w:r>
            <w:r w:rsidRPr="005228E3">
              <w:t xml:space="preserve"> to notify the physician o</w:t>
            </w:r>
            <w:r w:rsidRPr="005228E3">
              <w:t xml:space="preserve">r other person who prescribed the </w:t>
            </w:r>
            <w:r w:rsidRPr="007A13EC">
              <w:t xml:space="preserve">auto-injector </w:t>
            </w:r>
            <w:r w:rsidRPr="007A13EC">
              <w:t xml:space="preserve">of the age of the person to whom </w:t>
            </w:r>
            <w:r w:rsidRPr="007A13EC">
              <w:t>it</w:t>
            </w:r>
            <w:r w:rsidRPr="007A13EC">
              <w:t xml:space="preserve"> was administered and the number of doses</w:t>
            </w:r>
            <w:r>
              <w:t xml:space="preserve"> administered</w:t>
            </w:r>
            <w:r w:rsidRPr="005228E3">
              <w:t>; and</w:t>
            </w:r>
          </w:p>
          <w:p w:rsidR="00997DB6" w:rsidRDefault="00F66E37" w:rsidP="00F06E4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an authorization for a law enforcement agency to accept gifts, grants, donations, and federal and local money to </w:t>
            </w:r>
            <w:r>
              <w:t xml:space="preserve">implement the bill's provisions. </w:t>
            </w:r>
          </w:p>
          <w:p w:rsidR="00997DB6" w:rsidRDefault="00F66E37" w:rsidP="00F06E46">
            <w:pPr>
              <w:spacing w:before="120" w:after="120"/>
              <w:jc w:val="both"/>
            </w:pPr>
          </w:p>
          <w:p w:rsidR="00997DB6" w:rsidRPr="00B665F5" w:rsidRDefault="00F66E37" w:rsidP="00821504">
            <w:pPr>
              <w:spacing w:before="120" w:after="120"/>
              <w:jc w:val="both"/>
            </w:pPr>
            <w:r>
              <w:t>The substitute does not include a provision requiring TCOLE</w:t>
            </w:r>
            <w:r>
              <w:t>, in consultation with DSHS,</w:t>
            </w:r>
            <w:r>
              <w:t xml:space="preserve"> to develop reporting requirements concerning a peace officer's administration of an epinephrine auto-injector. </w:t>
            </w:r>
          </w:p>
        </w:tc>
      </w:tr>
      <w:tr w:rsidR="00376BBD" w:rsidTr="00345119">
        <w:tc>
          <w:tcPr>
            <w:tcW w:w="9576" w:type="dxa"/>
          </w:tcPr>
          <w:p w:rsidR="00942696" w:rsidRPr="009C1E9A" w:rsidRDefault="00F66E37" w:rsidP="00F06E46">
            <w:pPr>
              <w:rPr>
                <w:b/>
                <w:u w:val="single"/>
              </w:rPr>
            </w:pPr>
          </w:p>
        </w:tc>
      </w:tr>
      <w:tr w:rsidR="00376BBD" w:rsidTr="00345119">
        <w:tc>
          <w:tcPr>
            <w:tcW w:w="9576" w:type="dxa"/>
          </w:tcPr>
          <w:p w:rsidR="00942696" w:rsidRPr="00942696" w:rsidRDefault="00F66E37" w:rsidP="00F06E46">
            <w:pPr>
              <w:jc w:val="both"/>
            </w:pPr>
          </w:p>
        </w:tc>
      </w:tr>
    </w:tbl>
    <w:p w:rsidR="008423E4" w:rsidRPr="00BE0E75" w:rsidRDefault="00F66E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6E3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6E37">
      <w:r>
        <w:separator/>
      </w:r>
    </w:p>
  </w:endnote>
  <w:endnote w:type="continuationSeparator" w:id="0">
    <w:p w:rsidR="00000000" w:rsidRDefault="00F6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6BBD" w:rsidTr="009C1E9A">
      <w:trPr>
        <w:cantSplit/>
      </w:trPr>
      <w:tc>
        <w:tcPr>
          <w:tcW w:w="0" w:type="pct"/>
        </w:tcPr>
        <w:p w:rsidR="00137D90" w:rsidRDefault="00F66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6E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6E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6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6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BBD" w:rsidTr="009C1E9A">
      <w:trPr>
        <w:cantSplit/>
      </w:trPr>
      <w:tc>
        <w:tcPr>
          <w:tcW w:w="0" w:type="pct"/>
        </w:tcPr>
        <w:p w:rsidR="00EC379B" w:rsidRDefault="00F66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6E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33217</w:t>
          </w:r>
        </w:p>
      </w:tc>
      <w:tc>
        <w:tcPr>
          <w:tcW w:w="2453" w:type="pct"/>
        </w:tcPr>
        <w:p w:rsidR="00EC379B" w:rsidRDefault="00F66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19.129.944</w:t>
          </w:r>
          <w:r>
            <w:fldChar w:fldCharType="end"/>
          </w:r>
        </w:p>
      </w:tc>
    </w:tr>
    <w:tr w:rsidR="00376BBD" w:rsidTr="009C1E9A">
      <w:trPr>
        <w:cantSplit/>
      </w:trPr>
      <w:tc>
        <w:tcPr>
          <w:tcW w:w="0" w:type="pct"/>
        </w:tcPr>
        <w:p w:rsidR="00EC379B" w:rsidRDefault="00F66E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6E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27080</w:t>
          </w:r>
        </w:p>
      </w:tc>
      <w:tc>
        <w:tcPr>
          <w:tcW w:w="2453" w:type="pct"/>
        </w:tcPr>
        <w:p w:rsidR="00EC379B" w:rsidRDefault="00F66E37" w:rsidP="006D504F">
          <w:pPr>
            <w:pStyle w:val="Footer"/>
            <w:rPr>
              <w:rStyle w:val="PageNumber"/>
            </w:rPr>
          </w:pPr>
        </w:p>
        <w:p w:rsidR="00EC379B" w:rsidRDefault="00F66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B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6E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6E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6E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6E37">
      <w:r>
        <w:separator/>
      </w:r>
    </w:p>
  </w:footnote>
  <w:footnote w:type="continuationSeparator" w:id="0">
    <w:p w:rsidR="00000000" w:rsidRDefault="00F6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DC8"/>
    <w:multiLevelType w:val="hybridMultilevel"/>
    <w:tmpl w:val="6F0A75C0"/>
    <w:lvl w:ilvl="0" w:tplc="A3B4C5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67607E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1E0605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18245A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9A239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7260F0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3B05BE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AB0F7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97A091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1F1D3E"/>
    <w:multiLevelType w:val="hybridMultilevel"/>
    <w:tmpl w:val="35B00B68"/>
    <w:lvl w:ilvl="0" w:tplc="185A9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A1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AE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06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C9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0B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6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2A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535"/>
    <w:multiLevelType w:val="hybridMultilevel"/>
    <w:tmpl w:val="F086E090"/>
    <w:lvl w:ilvl="0" w:tplc="A1282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88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F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9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43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A3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8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4A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BD"/>
    <w:rsid w:val="00376BBD"/>
    <w:rsid w:val="00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57822-5BF8-4AC2-9D32-AD64835A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68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89C"/>
    <w:rPr>
      <w:b/>
      <w:bCs/>
    </w:rPr>
  </w:style>
  <w:style w:type="paragraph" w:styleId="ListParagraph">
    <w:name w:val="List Paragraph"/>
    <w:basedOn w:val="Normal"/>
    <w:uiPriority w:val="34"/>
    <w:qFormat/>
    <w:rsid w:val="0099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5450</Characters>
  <Application>Microsoft Office Word</Application>
  <DocSecurity>4</DocSecurity>
  <Lines>112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SB01827 (Committee Report (Substituted))</vt:lpstr>
    </vt:vector>
  </TitlesOfParts>
  <Company>State of Texas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33217</dc:subject>
  <dc:creator>State of Texas</dc:creator>
  <dc:description>SB 1827 by Menéndez-(H)Public Health (Substitute Document Number: 86R 27080)</dc:description>
  <cp:lastModifiedBy>Erin Conway</cp:lastModifiedBy>
  <cp:revision>2</cp:revision>
  <cp:lastPrinted>2003-11-26T17:21:00Z</cp:lastPrinted>
  <dcterms:created xsi:type="dcterms:W3CDTF">2019-05-13T18:16:00Z</dcterms:created>
  <dcterms:modified xsi:type="dcterms:W3CDTF">2019-05-13T18:16:00Z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19.129.944</vt:lpwstr>
  </property>
</Properties>
</file>