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A0AA7" w:rsidTr="00345119">
        <w:tc>
          <w:tcPr>
            <w:tcW w:w="9576" w:type="dxa"/>
            <w:noWrap/>
          </w:tcPr>
          <w:p w:rsidR="008423E4" w:rsidRPr="0022177D" w:rsidRDefault="00640A86" w:rsidP="00345119">
            <w:pPr>
              <w:pStyle w:val="Heading1"/>
            </w:pPr>
            <w:bookmarkStart w:id="0" w:name="_GoBack"/>
            <w:bookmarkEnd w:id="0"/>
            <w:r w:rsidRPr="00631897">
              <w:t>BILL ANALYSIS</w:t>
            </w:r>
          </w:p>
        </w:tc>
      </w:tr>
    </w:tbl>
    <w:p w:rsidR="008423E4" w:rsidRPr="0022177D" w:rsidRDefault="00640A86" w:rsidP="008423E4">
      <w:pPr>
        <w:jc w:val="center"/>
      </w:pPr>
    </w:p>
    <w:p w:rsidR="008423E4" w:rsidRPr="00B31F0E" w:rsidRDefault="00640A86" w:rsidP="008423E4"/>
    <w:p w:rsidR="008423E4" w:rsidRPr="00742794" w:rsidRDefault="00640A86" w:rsidP="008423E4">
      <w:pPr>
        <w:tabs>
          <w:tab w:val="right" w:pos="9360"/>
        </w:tabs>
      </w:pPr>
    </w:p>
    <w:tbl>
      <w:tblPr>
        <w:tblW w:w="0" w:type="auto"/>
        <w:tblLayout w:type="fixed"/>
        <w:tblLook w:val="01E0" w:firstRow="1" w:lastRow="1" w:firstColumn="1" w:lastColumn="1" w:noHBand="0" w:noVBand="0"/>
      </w:tblPr>
      <w:tblGrid>
        <w:gridCol w:w="9576"/>
      </w:tblGrid>
      <w:tr w:rsidR="00BA0AA7" w:rsidTr="00345119">
        <w:tc>
          <w:tcPr>
            <w:tcW w:w="9576" w:type="dxa"/>
          </w:tcPr>
          <w:p w:rsidR="008423E4" w:rsidRPr="00861995" w:rsidRDefault="00640A86" w:rsidP="0036085E">
            <w:pPr>
              <w:jc w:val="right"/>
            </w:pPr>
            <w:r>
              <w:t>C.S.S.B. 1845</w:t>
            </w:r>
          </w:p>
        </w:tc>
      </w:tr>
      <w:tr w:rsidR="00BA0AA7" w:rsidTr="00345119">
        <w:tc>
          <w:tcPr>
            <w:tcW w:w="9576" w:type="dxa"/>
          </w:tcPr>
          <w:p w:rsidR="008423E4" w:rsidRPr="00861995" w:rsidRDefault="00640A86" w:rsidP="006C48AA">
            <w:pPr>
              <w:jc w:val="right"/>
            </w:pPr>
            <w:r>
              <w:t xml:space="preserve">By: </w:t>
            </w:r>
            <w:r>
              <w:t>Miles</w:t>
            </w:r>
          </w:p>
        </w:tc>
      </w:tr>
      <w:tr w:rsidR="00BA0AA7" w:rsidTr="00345119">
        <w:tc>
          <w:tcPr>
            <w:tcW w:w="9576" w:type="dxa"/>
          </w:tcPr>
          <w:p w:rsidR="008423E4" w:rsidRPr="00861995" w:rsidRDefault="00640A86" w:rsidP="0036085E">
            <w:pPr>
              <w:jc w:val="right"/>
            </w:pPr>
            <w:r>
              <w:t>Business &amp; Industry</w:t>
            </w:r>
          </w:p>
        </w:tc>
      </w:tr>
      <w:tr w:rsidR="00BA0AA7" w:rsidTr="00345119">
        <w:tc>
          <w:tcPr>
            <w:tcW w:w="9576" w:type="dxa"/>
          </w:tcPr>
          <w:p w:rsidR="008423E4" w:rsidRDefault="00640A86" w:rsidP="0036085E">
            <w:pPr>
              <w:jc w:val="right"/>
            </w:pPr>
            <w:r>
              <w:t>Committee Report (Substituted)</w:t>
            </w:r>
          </w:p>
        </w:tc>
      </w:tr>
    </w:tbl>
    <w:p w:rsidR="008423E4" w:rsidRDefault="00640A86" w:rsidP="008423E4">
      <w:pPr>
        <w:tabs>
          <w:tab w:val="right" w:pos="9360"/>
        </w:tabs>
      </w:pPr>
    </w:p>
    <w:p w:rsidR="008423E4" w:rsidRDefault="00640A86" w:rsidP="008423E4"/>
    <w:p w:rsidR="008423E4" w:rsidRDefault="00640A86" w:rsidP="008423E4"/>
    <w:tbl>
      <w:tblPr>
        <w:tblW w:w="0" w:type="auto"/>
        <w:tblCellMar>
          <w:left w:w="115" w:type="dxa"/>
          <w:right w:w="115" w:type="dxa"/>
        </w:tblCellMar>
        <w:tblLook w:val="01E0" w:firstRow="1" w:lastRow="1" w:firstColumn="1" w:lastColumn="1" w:noHBand="0" w:noVBand="0"/>
      </w:tblPr>
      <w:tblGrid>
        <w:gridCol w:w="9576"/>
      </w:tblGrid>
      <w:tr w:rsidR="00BA0AA7" w:rsidTr="00345119">
        <w:tc>
          <w:tcPr>
            <w:tcW w:w="9576" w:type="dxa"/>
          </w:tcPr>
          <w:p w:rsidR="008423E4" w:rsidRPr="00A8133F" w:rsidRDefault="00640A86" w:rsidP="00944158">
            <w:pPr>
              <w:rPr>
                <w:b/>
              </w:rPr>
            </w:pPr>
            <w:r w:rsidRPr="009C1E9A">
              <w:rPr>
                <w:b/>
                <w:u w:val="single"/>
              </w:rPr>
              <w:t>BACKGROUND AND PURPOSE</w:t>
            </w:r>
            <w:r>
              <w:rPr>
                <w:b/>
              </w:rPr>
              <w:t xml:space="preserve"> </w:t>
            </w:r>
          </w:p>
          <w:p w:rsidR="008423E4" w:rsidRDefault="00640A86" w:rsidP="00944158"/>
          <w:p w:rsidR="008423E4" w:rsidRDefault="00640A86" w:rsidP="00944158">
            <w:pPr>
              <w:pStyle w:val="Header"/>
              <w:tabs>
                <w:tab w:val="clear" w:pos="4320"/>
                <w:tab w:val="clear" w:pos="8640"/>
              </w:tabs>
              <w:jc w:val="both"/>
            </w:pPr>
            <w:r>
              <w:t>Concerns have been raised regarding c</w:t>
            </w:r>
            <w:r w:rsidRPr="0009375A">
              <w:t xml:space="preserve">ertain mixed-use real estate developments </w:t>
            </w:r>
            <w:r>
              <w:t xml:space="preserve">that </w:t>
            </w:r>
            <w:r w:rsidRPr="0009375A">
              <w:t xml:space="preserve">are subject to restrictive covenants that are difficult to amend or modify. </w:t>
            </w:r>
            <w:r>
              <w:t xml:space="preserve">It has been suggested that certain laws relating to </w:t>
            </w:r>
            <w:r w:rsidRPr="0009375A">
              <w:t>property owners</w:t>
            </w:r>
            <w:r>
              <w:t>'</w:t>
            </w:r>
            <w:r w:rsidRPr="0009375A">
              <w:t xml:space="preserve"> association</w:t>
            </w:r>
            <w:r>
              <w:t>s</w:t>
            </w:r>
            <w:r w:rsidRPr="0009375A">
              <w:t xml:space="preserve"> </w:t>
            </w:r>
            <w:r>
              <w:t>may</w:t>
            </w:r>
            <w:r w:rsidRPr="0009375A">
              <w:t xml:space="preserve"> not appropriately address </w:t>
            </w:r>
            <w:r>
              <w:t>this</w:t>
            </w:r>
            <w:r w:rsidRPr="0009375A">
              <w:t xml:space="preserve"> issue </w:t>
            </w:r>
            <w:r>
              <w:t>with</w:t>
            </w:r>
            <w:r w:rsidRPr="0009375A">
              <w:t xml:space="preserve"> </w:t>
            </w:r>
            <w:r>
              <w:t>regard to</w:t>
            </w:r>
            <w:r w:rsidRPr="0009375A">
              <w:t xml:space="preserve"> </w:t>
            </w:r>
            <w:r>
              <w:t>these</w:t>
            </w:r>
            <w:r w:rsidRPr="0009375A">
              <w:t xml:space="preserve"> developments. </w:t>
            </w:r>
            <w:r>
              <w:t>C.S.</w:t>
            </w:r>
            <w:r>
              <w:t>S.B. 1845</w:t>
            </w:r>
            <w:r w:rsidRPr="0009375A">
              <w:t xml:space="preserve"> </w:t>
            </w:r>
            <w:r>
              <w:t xml:space="preserve">seeks </w:t>
            </w:r>
            <w:r w:rsidRPr="0009375A">
              <w:t>to</w:t>
            </w:r>
            <w:r w:rsidRPr="0009375A">
              <w:t xml:space="preserve"> address the unique nature of </w:t>
            </w:r>
            <w:r>
              <w:t>these</w:t>
            </w:r>
            <w:r w:rsidRPr="0009375A">
              <w:t xml:space="preserve"> developments </w:t>
            </w:r>
            <w:r>
              <w:t>by</w:t>
            </w:r>
            <w:r w:rsidRPr="0009375A">
              <w:t xml:space="preserve"> </w:t>
            </w:r>
            <w:r>
              <w:t xml:space="preserve">providing for </w:t>
            </w:r>
            <w:r w:rsidRPr="0009375A">
              <w:t xml:space="preserve">the amendment of </w:t>
            </w:r>
            <w:r>
              <w:t>declarations</w:t>
            </w:r>
            <w:r w:rsidRPr="0009375A">
              <w:t xml:space="preserve"> of </w:t>
            </w:r>
            <w:r>
              <w:t xml:space="preserve">certain </w:t>
            </w:r>
            <w:r w:rsidRPr="0009375A">
              <w:t>mixed-use real estate developments</w:t>
            </w:r>
            <w:r>
              <w:t xml:space="preserve"> </w:t>
            </w:r>
            <w:r w:rsidRPr="0009375A">
              <w:t>located</w:t>
            </w:r>
            <w:r>
              <w:t xml:space="preserve"> in certain</w:t>
            </w:r>
            <w:r>
              <w:t xml:space="preserve"> municipalities and</w:t>
            </w:r>
            <w:r>
              <w:t xml:space="preserve"> </w:t>
            </w:r>
            <w:r>
              <w:t>counties</w:t>
            </w:r>
            <w:r>
              <w:t>.</w:t>
            </w:r>
            <w:r w:rsidRPr="0009375A">
              <w:t xml:space="preserve"> </w:t>
            </w:r>
          </w:p>
          <w:p w:rsidR="008423E4" w:rsidRPr="00E26B13" w:rsidRDefault="00640A86" w:rsidP="00944158">
            <w:pPr>
              <w:rPr>
                <w:b/>
              </w:rPr>
            </w:pPr>
          </w:p>
        </w:tc>
      </w:tr>
      <w:tr w:rsidR="00BA0AA7" w:rsidTr="00345119">
        <w:tc>
          <w:tcPr>
            <w:tcW w:w="9576" w:type="dxa"/>
          </w:tcPr>
          <w:p w:rsidR="0017725B" w:rsidRDefault="00640A86" w:rsidP="00944158">
            <w:pPr>
              <w:rPr>
                <w:b/>
                <w:u w:val="single"/>
              </w:rPr>
            </w:pPr>
            <w:r>
              <w:rPr>
                <w:b/>
                <w:u w:val="single"/>
              </w:rPr>
              <w:t>CRIMINAL JUSTICE IMPACT</w:t>
            </w:r>
          </w:p>
          <w:p w:rsidR="0017725B" w:rsidRDefault="00640A86" w:rsidP="00944158">
            <w:pPr>
              <w:rPr>
                <w:b/>
                <w:u w:val="single"/>
              </w:rPr>
            </w:pPr>
          </w:p>
          <w:p w:rsidR="0058649A" w:rsidRPr="0058649A" w:rsidRDefault="00640A86" w:rsidP="00944158">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640A86" w:rsidP="00944158">
            <w:pPr>
              <w:rPr>
                <w:b/>
                <w:u w:val="single"/>
              </w:rPr>
            </w:pPr>
          </w:p>
        </w:tc>
      </w:tr>
      <w:tr w:rsidR="00BA0AA7" w:rsidTr="00345119">
        <w:tc>
          <w:tcPr>
            <w:tcW w:w="9576" w:type="dxa"/>
          </w:tcPr>
          <w:p w:rsidR="008423E4" w:rsidRPr="00A8133F" w:rsidRDefault="00640A86" w:rsidP="00944158">
            <w:pPr>
              <w:rPr>
                <w:b/>
              </w:rPr>
            </w:pPr>
            <w:r w:rsidRPr="009C1E9A">
              <w:rPr>
                <w:b/>
                <w:u w:val="single"/>
              </w:rPr>
              <w:t>RULEMAKING AUTHOR</w:t>
            </w:r>
            <w:r w:rsidRPr="009C1E9A">
              <w:rPr>
                <w:b/>
                <w:u w:val="single"/>
              </w:rPr>
              <w:t>ITY</w:t>
            </w:r>
            <w:r>
              <w:rPr>
                <w:b/>
              </w:rPr>
              <w:t xml:space="preserve"> </w:t>
            </w:r>
          </w:p>
          <w:p w:rsidR="008423E4" w:rsidRDefault="00640A86" w:rsidP="00944158"/>
          <w:p w:rsidR="0058649A" w:rsidRDefault="00640A86" w:rsidP="0094415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40A86" w:rsidP="00944158">
            <w:pPr>
              <w:rPr>
                <w:b/>
              </w:rPr>
            </w:pPr>
          </w:p>
        </w:tc>
      </w:tr>
      <w:tr w:rsidR="00BA0AA7" w:rsidTr="00345119">
        <w:tc>
          <w:tcPr>
            <w:tcW w:w="9576" w:type="dxa"/>
          </w:tcPr>
          <w:p w:rsidR="008423E4" w:rsidRPr="00A8133F" w:rsidRDefault="00640A86" w:rsidP="00944158">
            <w:pPr>
              <w:rPr>
                <w:b/>
              </w:rPr>
            </w:pPr>
            <w:r w:rsidRPr="009C1E9A">
              <w:rPr>
                <w:b/>
                <w:u w:val="single"/>
              </w:rPr>
              <w:t>ANALYSIS</w:t>
            </w:r>
            <w:r>
              <w:rPr>
                <w:b/>
              </w:rPr>
              <w:t xml:space="preserve"> </w:t>
            </w:r>
          </w:p>
          <w:p w:rsidR="008423E4" w:rsidRDefault="00640A86" w:rsidP="00944158"/>
          <w:p w:rsidR="00141134" w:rsidRDefault="00640A86" w:rsidP="00944158">
            <w:pPr>
              <w:pStyle w:val="Header"/>
              <w:tabs>
                <w:tab w:val="clear" w:pos="4320"/>
                <w:tab w:val="clear" w:pos="8640"/>
              </w:tabs>
              <w:jc w:val="both"/>
            </w:pPr>
            <w:r>
              <w:t>C.S.</w:t>
            </w:r>
            <w:r>
              <w:t>S.B. 1845</w:t>
            </w:r>
            <w:r>
              <w:t xml:space="preserve"> amends the Property Code to </w:t>
            </w:r>
            <w:r>
              <w:t xml:space="preserve">require </w:t>
            </w:r>
            <w:r>
              <w:t>an amendment of</w:t>
            </w:r>
            <w:r>
              <w:t xml:space="preserve"> </w:t>
            </w:r>
            <w:r>
              <w:t xml:space="preserve">a </w:t>
            </w:r>
            <w:r>
              <w:t>declaration of a mixed</w:t>
            </w:r>
            <w:r>
              <w:noBreakHyphen/>
            </w:r>
            <w:r>
              <w:t>use real estate development</w:t>
            </w:r>
            <w:r>
              <w:t>, as defined by the bill,</w:t>
            </w:r>
            <w:r>
              <w:t xml:space="preserve"> </w:t>
            </w:r>
            <w:r>
              <w:t>that is located in a</w:t>
            </w:r>
            <w:r>
              <w:t xml:space="preserve"> municipality with a population of two million or more </w:t>
            </w:r>
            <w:r>
              <w:t xml:space="preserve">and </w:t>
            </w:r>
            <w:r>
              <w:t>a</w:t>
            </w:r>
            <w:r>
              <w:t xml:space="preserve"> county with a population of 3.3 million or more </w:t>
            </w:r>
            <w:r>
              <w:t>to be approved by a vote of a majority of the total</w:t>
            </w:r>
            <w:r>
              <w:t xml:space="preserve"> votes allocated to property owners entitled to vote on the amendment</w:t>
            </w:r>
            <w:r>
              <w:t xml:space="preserve">, </w:t>
            </w:r>
            <w:r>
              <w:t xml:space="preserve">except </w:t>
            </w:r>
            <w:r>
              <w:t>that a lower</w:t>
            </w:r>
            <w:r>
              <w:t xml:space="preserve"> approval requirement in the declaration controls</w:t>
            </w:r>
            <w:r>
              <w:t>, if applicable</w:t>
            </w:r>
            <w:r>
              <w:t xml:space="preserve">. </w:t>
            </w:r>
            <w:r>
              <w:t xml:space="preserve">The bill authorizes a </w:t>
            </w:r>
            <w:r>
              <w:t xml:space="preserve">declaration </w:t>
            </w:r>
            <w:r>
              <w:t xml:space="preserve">that </w:t>
            </w:r>
            <w:r>
              <w:t>is silent as to voting rights for an amendment</w:t>
            </w:r>
            <w:r>
              <w:t xml:space="preserve"> to </w:t>
            </w:r>
            <w:r>
              <w:t xml:space="preserve">be amended by a vote of </w:t>
            </w:r>
            <w:r>
              <w:t xml:space="preserve">that </w:t>
            </w:r>
            <w:r>
              <w:t>majority.</w:t>
            </w:r>
            <w:r>
              <w:t xml:space="preserve"> </w:t>
            </w:r>
          </w:p>
          <w:p w:rsidR="00141134" w:rsidRDefault="00640A86" w:rsidP="00944158">
            <w:pPr>
              <w:pStyle w:val="Header"/>
              <w:tabs>
                <w:tab w:val="clear" w:pos="4320"/>
                <w:tab w:val="clear" w:pos="8640"/>
              </w:tabs>
              <w:jc w:val="both"/>
            </w:pPr>
          </w:p>
          <w:p w:rsidR="00141134" w:rsidRDefault="00640A86" w:rsidP="00944158">
            <w:pPr>
              <w:pStyle w:val="Header"/>
              <w:tabs>
                <w:tab w:val="clear" w:pos="4320"/>
                <w:tab w:val="clear" w:pos="8640"/>
              </w:tabs>
              <w:jc w:val="both"/>
            </w:pPr>
            <w:r>
              <w:t>C.S.S.B. 1845</w:t>
            </w:r>
            <w:r>
              <w:t xml:space="preserve"> establishes that</w:t>
            </w:r>
            <w:r>
              <w:t>,</w:t>
            </w:r>
            <w:r>
              <w:t xml:space="preserve"> while the mixed-use real estate development has a current developer,</w:t>
            </w:r>
            <w:r>
              <w:t xml:space="preserve"> as defined by the bill,</w:t>
            </w:r>
            <w:r>
              <w:t xml:space="preserve"> an amendment made to the declaration under the</w:t>
            </w:r>
            <w:r>
              <w:t xml:space="preserve"> bill's</w:t>
            </w:r>
            <w:r>
              <w:t xml:space="preserve"> provisions requires the current deve</w:t>
            </w:r>
            <w:r>
              <w:t>loper to consent to the amendment to be valid.</w:t>
            </w:r>
            <w:r>
              <w:t xml:space="preserve"> </w:t>
            </w:r>
            <w:r>
              <w:t>The bill prohibits a bylaw of an applicable development from being amended to conflict with the</w:t>
            </w:r>
            <w:r>
              <w:t xml:space="preserve"> bill's</w:t>
            </w:r>
            <w:r>
              <w:t xml:space="preserve"> provisions and establishes that </w:t>
            </w:r>
            <w:r>
              <w:t xml:space="preserve">the bill's </w:t>
            </w:r>
            <w:r>
              <w:t xml:space="preserve">provisions </w:t>
            </w:r>
            <w:r>
              <w:t>supersede any conflicting requirement in a dedicator</w:t>
            </w:r>
            <w:r>
              <w:t>y instrument</w:t>
            </w:r>
            <w:r>
              <w:t>.</w:t>
            </w:r>
            <w:r>
              <w:t xml:space="preserve"> </w:t>
            </w:r>
            <w:r>
              <w:t>T</w:t>
            </w:r>
            <w:r>
              <w:t xml:space="preserve">he bill establishes that </w:t>
            </w:r>
            <w:r>
              <w:t>its</w:t>
            </w:r>
            <w:r>
              <w:t xml:space="preserve"> provisions prevail t</w:t>
            </w:r>
            <w:r>
              <w:t>o the extent of any conf</w:t>
            </w:r>
            <w:r>
              <w:t xml:space="preserve">lict with another </w:t>
            </w:r>
            <w:r>
              <w:t xml:space="preserve">Property Code </w:t>
            </w:r>
            <w:r>
              <w:t xml:space="preserve">provision relating to restrictive </w:t>
            </w:r>
            <w:r>
              <w:t xml:space="preserve">covenants and apply </w:t>
            </w:r>
            <w:r>
              <w:t xml:space="preserve">to a dedicatory instrument </w:t>
            </w:r>
            <w:r>
              <w:t>regardless of the date on which the dedicatory instrume</w:t>
            </w:r>
            <w:r>
              <w:t>nt was created</w:t>
            </w:r>
            <w:r>
              <w:t>.</w:t>
            </w:r>
            <w:r>
              <w:t xml:space="preserve"> </w:t>
            </w:r>
          </w:p>
          <w:p w:rsidR="00141134" w:rsidRDefault="00640A86" w:rsidP="00944158">
            <w:pPr>
              <w:pStyle w:val="Header"/>
              <w:tabs>
                <w:tab w:val="clear" w:pos="4320"/>
                <w:tab w:val="clear" w:pos="8640"/>
              </w:tabs>
              <w:jc w:val="both"/>
            </w:pPr>
          </w:p>
          <w:p w:rsidR="00066085" w:rsidRDefault="00640A86" w:rsidP="00944158">
            <w:pPr>
              <w:pStyle w:val="Header"/>
              <w:tabs>
                <w:tab w:val="clear" w:pos="4320"/>
                <w:tab w:val="clear" w:pos="8640"/>
              </w:tabs>
              <w:jc w:val="both"/>
            </w:pPr>
            <w:r>
              <w:t>C.S.S.B. 1845</w:t>
            </w:r>
            <w:r>
              <w:t xml:space="preserve"> exempts </w:t>
            </w:r>
            <w:r>
              <w:t>the following from its provisions:</w:t>
            </w:r>
          </w:p>
          <w:p w:rsidR="00066085" w:rsidRDefault="00640A86" w:rsidP="00944158">
            <w:pPr>
              <w:pStyle w:val="Header"/>
              <w:numPr>
                <w:ilvl w:val="0"/>
                <w:numId w:val="4"/>
              </w:numPr>
              <w:tabs>
                <w:tab w:val="clear" w:pos="4320"/>
                <w:tab w:val="clear" w:pos="8640"/>
              </w:tabs>
              <w:jc w:val="both"/>
            </w:pPr>
            <w:r w:rsidRPr="00BA6469">
              <w:t>a mixed-use real estate development that includes single-family residential properties</w:t>
            </w:r>
            <w:r>
              <w:t>; and</w:t>
            </w:r>
          </w:p>
          <w:p w:rsidR="008423E4" w:rsidRDefault="00640A86" w:rsidP="00944158">
            <w:pPr>
              <w:pStyle w:val="Header"/>
              <w:numPr>
                <w:ilvl w:val="0"/>
                <w:numId w:val="4"/>
              </w:numPr>
              <w:tabs>
                <w:tab w:val="clear" w:pos="4320"/>
                <w:tab w:val="clear" w:pos="8640"/>
              </w:tabs>
              <w:jc w:val="both"/>
            </w:pPr>
            <w:r w:rsidRPr="00BA6469">
              <w:t>a condominium subject to</w:t>
            </w:r>
            <w:r>
              <w:t xml:space="preserve"> </w:t>
            </w:r>
            <w:r w:rsidRPr="00BA6469">
              <w:t>the Condominium Act</w:t>
            </w:r>
            <w:r>
              <w:t xml:space="preserve"> </w:t>
            </w:r>
            <w:r>
              <w:t>or the Uniform Condominium Act</w:t>
            </w:r>
            <w:r>
              <w:t>.</w:t>
            </w:r>
          </w:p>
          <w:p w:rsidR="00643F78" w:rsidRPr="00835628" w:rsidRDefault="00640A86" w:rsidP="00944158">
            <w:pPr>
              <w:pStyle w:val="Header"/>
              <w:tabs>
                <w:tab w:val="clear" w:pos="4320"/>
                <w:tab w:val="clear" w:pos="8640"/>
              </w:tabs>
              <w:jc w:val="both"/>
              <w:rPr>
                <w:b/>
              </w:rPr>
            </w:pPr>
          </w:p>
        </w:tc>
      </w:tr>
      <w:tr w:rsidR="00BA0AA7" w:rsidTr="00345119">
        <w:tc>
          <w:tcPr>
            <w:tcW w:w="9576" w:type="dxa"/>
          </w:tcPr>
          <w:p w:rsidR="008423E4" w:rsidRPr="00A8133F" w:rsidRDefault="00640A86" w:rsidP="00944158">
            <w:pPr>
              <w:rPr>
                <w:b/>
              </w:rPr>
            </w:pPr>
            <w:r w:rsidRPr="009C1E9A">
              <w:rPr>
                <w:b/>
                <w:u w:val="single"/>
              </w:rPr>
              <w:t xml:space="preserve">EFFECTIVE </w:t>
            </w:r>
            <w:r w:rsidRPr="009C1E9A">
              <w:rPr>
                <w:b/>
                <w:u w:val="single"/>
              </w:rPr>
              <w:t>DATE</w:t>
            </w:r>
            <w:r>
              <w:rPr>
                <w:b/>
              </w:rPr>
              <w:t xml:space="preserve"> </w:t>
            </w:r>
          </w:p>
          <w:p w:rsidR="008423E4" w:rsidRDefault="00640A86" w:rsidP="00944158"/>
          <w:p w:rsidR="008423E4" w:rsidRPr="003624F2" w:rsidRDefault="00640A86" w:rsidP="00944158">
            <w:pPr>
              <w:pStyle w:val="Header"/>
              <w:tabs>
                <w:tab w:val="clear" w:pos="4320"/>
                <w:tab w:val="clear" w:pos="8640"/>
              </w:tabs>
              <w:jc w:val="both"/>
            </w:pPr>
            <w:r>
              <w:t>September 1, 2019.</w:t>
            </w:r>
          </w:p>
          <w:p w:rsidR="008423E4" w:rsidRPr="00233FDB" w:rsidRDefault="00640A86" w:rsidP="00944158">
            <w:pPr>
              <w:rPr>
                <w:b/>
              </w:rPr>
            </w:pPr>
          </w:p>
        </w:tc>
      </w:tr>
      <w:tr w:rsidR="00BA0AA7" w:rsidTr="00345119">
        <w:tc>
          <w:tcPr>
            <w:tcW w:w="9576" w:type="dxa"/>
          </w:tcPr>
          <w:p w:rsidR="006C48AA" w:rsidRDefault="00640A86" w:rsidP="00944158">
            <w:pPr>
              <w:jc w:val="both"/>
              <w:rPr>
                <w:b/>
                <w:u w:val="single"/>
              </w:rPr>
            </w:pPr>
            <w:r>
              <w:rPr>
                <w:b/>
                <w:u w:val="single"/>
              </w:rPr>
              <w:t>COMPARISON OF SENATE ENGROSSED AND SUBSTITUTE</w:t>
            </w:r>
          </w:p>
          <w:p w:rsidR="00163294" w:rsidRDefault="00640A86" w:rsidP="00944158">
            <w:pPr>
              <w:jc w:val="both"/>
            </w:pPr>
          </w:p>
          <w:p w:rsidR="00163294" w:rsidRDefault="00640A86" w:rsidP="00944158">
            <w:pPr>
              <w:jc w:val="both"/>
            </w:pPr>
            <w:r>
              <w:t xml:space="preserve">While C.S.S.B. 1845 may differ from the engrossed in minor or nonsubstantive ways, the following summarizes the substantial differences between the engrossed and committee </w:t>
            </w:r>
            <w:r>
              <w:t>substitute versions of the bill.</w:t>
            </w:r>
          </w:p>
          <w:p w:rsidR="00ED7AE1" w:rsidRDefault="00640A86" w:rsidP="00944158">
            <w:pPr>
              <w:jc w:val="both"/>
            </w:pPr>
          </w:p>
          <w:p w:rsidR="001449F4" w:rsidRDefault="00640A86" w:rsidP="00944158">
            <w:pPr>
              <w:pStyle w:val="Header"/>
              <w:tabs>
                <w:tab w:val="clear" w:pos="4320"/>
                <w:tab w:val="clear" w:pos="8640"/>
              </w:tabs>
              <w:jc w:val="both"/>
            </w:pPr>
            <w:r>
              <w:t xml:space="preserve">The substitute </w:t>
            </w:r>
            <w:r>
              <w:t xml:space="preserve">includes </w:t>
            </w:r>
            <w:r>
              <w:t xml:space="preserve">a provision making the bill's provisions applicable to </w:t>
            </w:r>
            <w:r>
              <w:t>a mixed-use real estate development located in a municipality with a population of two million or more</w:t>
            </w:r>
            <w:r>
              <w:t>.</w:t>
            </w:r>
            <w:r>
              <w:t xml:space="preserve"> The substitute exempts a</w:t>
            </w:r>
            <w:r w:rsidRPr="00BA6469">
              <w:t xml:space="preserve"> mixed-use real</w:t>
            </w:r>
            <w:r w:rsidRPr="00BA6469">
              <w:t xml:space="preserve"> estate development that includes single-family residential properties</w:t>
            </w:r>
            <w:r>
              <w:t xml:space="preserve"> or </w:t>
            </w:r>
            <w:r w:rsidRPr="00BA6469">
              <w:t>a condominium subject to</w:t>
            </w:r>
            <w:r>
              <w:t xml:space="preserve"> </w:t>
            </w:r>
            <w:r w:rsidRPr="00BA6469">
              <w:t>the Condominium Act</w:t>
            </w:r>
            <w:r>
              <w:t xml:space="preserve"> </w:t>
            </w:r>
            <w:r>
              <w:t xml:space="preserve">or the Uniform Condominium Act </w:t>
            </w:r>
            <w:r>
              <w:t xml:space="preserve">from the bill's provisions. </w:t>
            </w:r>
          </w:p>
          <w:p w:rsidR="001449F4" w:rsidRDefault="00640A86" w:rsidP="00944158">
            <w:pPr>
              <w:pStyle w:val="Header"/>
              <w:tabs>
                <w:tab w:val="clear" w:pos="4320"/>
                <w:tab w:val="clear" w:pos="8640"/>
              </w:tabs>
              <w:jc w:val="both"/>
            </w:pPr>
          </w:p>
          <w:p w:rsidR="001449F4" w:rsidRPr="000858D5" w:rsidRDefault="00640A86" w:rsidP="00944158">
            <w:pPr>
              <w:pStyle w:val="Header"/>
              <w:tabs>
                <w:tab w:val="clear" w:pos="4320"/>
                <w:tab w:val="clear" w:pos="8640"/>
              </w:tabs>
              <w:jc w:val="both"/>
            </w:pPr>
            <w:r>
              <w:t xml:space="preserve">The substitute does not include </w:t>
            </w:r>
            <w:r>
              <w:t>a</w:t>
            </w:r>
            <w:r>
              <w:t>s a</w:t>
            </w:r>
            <w:r>
              <w:t xml:space="preserve"> </w:t>
            </w:r>
            <w:r>
              <w:t xml:space="preserve">specification </w:t>
            </w:r>
            <w:r>
              <w:t>in the bill's applicabili</w:t>
            </w:r>
            <w:r>
              <w:t xml:space="preserve">ty provision </w:t>
            </w:r>
            <w:r>
              <w:t>that a development to which the bill's provisions apply is a development in which property owners are subject to mandatory membership in a property owners' association</w:t>
            </w:r>
            <w:r>
              <w:t xml:space="preserve"> but t</w:t>
            </w:r>
            <w:r>
              <w:t>he substitute revises the definition of "mixed-use real estate develop</w:t>
            </w:r>
            <w:r>
              <w:t xml:space="preserve">ment" </w:t>
            </w:r>
            <w:r>
              <w:t>to specify that such a development, among other things, is a development that is governed by a property owners' association and that is subject to a dedicatory instrument that:</w:t>
            </w:r>
          </w:p>
          <w:p w:rsidR="001449F4" w:rsidRPr="000858D5" w:rsidRDefault="00640A86" w:rsidP="00944158">
            <w:pPr>
              <w:pStyle w:val="NoSpacing"/>
              <w:numPr>
                <w:ilvl w:val="0"/>
                <w:numId w:val="1"/>
              </w:numPr>
              <w:jc w:val="both"/>
              <w:rPr>
                <w:rFonts w:ascii="Times New Roman" w:hAnsi="Times New Roman" w:cs="Times New Roman"/>
                <w:sz w:val="24"/>
                <w:szCs w:val="24"/>
              </w:rPr>
            </w:pPr>
            <w:r w:rsidRPr="000858D5">
              <w:rPr>
                <w:rFonts w:ascii="Times New Roman" w:hAnsi="Times New Roman" w:cs="Times New Roman"/>
                <w:sz w:val="24"/>
                <w:szCs w:val="24"/>
              </w:rPr>
              <w:t>requires mandatory membership in the property owners' association;</w:t>
            </w:r>
          </w:p>
          <w:p w:rsidR="001449F4" w:rsidRPr="000858D5" w:rsidRDefault="00640A86" w:rsidP="00944158">
            <w:pPr>
              <w:pStyle w:val="NoSpacing"/>
              <w:numPr>
                <w:ilvl w:val="0"/>
                <w:numId w:val="1"/>
              </w:numPr>
              <w:jc w:val="both"/>
              <w:rPr>
                <w:rFonts w:ascii="Times New Roman" w:hAnsi="Times New Roman" w:cs="Times New Roman"/>
                <w:sz w:val="24"/>
                <w:szCs w:val="24"/>
              </w:rPr>
            </w:pPr>
            <w:r w:rsidRPr="000858D5">
              <w:rPr>
                <w:rFonts w:ascii="Times New Roman" w:hAnsi="Times New Roman" w:cs="Times New Roman"/>
                <w:sz w:val="24"/>
                <w:szCs w:val="24"/>
              </w:rPr>
              <w:t>author</w:t>
            </w:r>
            <w:r w:rsidRPr="000858D5">
              <w:rPr>
                <w:rFonts w:ascii="Times New Roman" w:hAnsi="Times New Roman" w:cs="Times New Roman"/>
                <w:sz w:val="24"/>
                <w:szCs w:val="24"/>
              </w:rPr>
              <w:t>izes the property owners' association to collect a regular assessment on all or a majority of the property in the development;</w:t>
            </w:r>
          </w:p>
          <w:p w:rsidR="001449F4" w:rsidRPr="000858D5" w:rsidRDefault="00640A86" w:rsidP="00944158">
            <w:pPr>
              <w:pStyle w:val="NoSpacing"/>
              <w:numPr>
                <w:ilvl w:val="0"/>
                <w:numId w:val="1"/>
              </w:numPr>
              <w:jc w:val="both"/>
              <w:rPr>
                <w:rFonts w:ascii="Times New Roman" w:hAnsi="Times New Roman" w:cs="Times New Roman"/>
                <w:sz w:val="24"/>
                <w:szCs w:val="24"/>
              </w:rPr>
            </w:pPr>
            <w:r w:rsidRPr="000858D5">
              <w:rPr>
                <w:rFonts w:ascii="Times New Roman" w:hAnsi="Times New Roman" w:cs="Times New Roman"/>
                <w:sz w:val="24"/>
                <w:szCs w:val="24"/>
              </w:rPr>
              <w:t>requires the approval of owners of more than:</w:t>
            </w:r>
          </w:p>
          <w:p w:rsidR="001449F4" w:rsidRPr="000858D5" w:rsidRDefault="00640A86" w:rsidP="00944158">
            <w:pPr>
              <w:pStyle w:val="NoSpacing"/>
              <w:numPr>
                <w:ilvl w:val="0"/>
                <w:numId w:val="2"/>
              </w:numPr>
              <w:jc w:val="both"/>
              <w:rPr>
                <w:rFonts w:ascii="Times New Roman" w:hAnsi="Times New Roman" w:cs="Times New Roman"/>
                <w:sz w:val="24"/>
                <w:szCs w:val="24"/>
              </w:rPr>
            </w:pPr>
            <w:r w:rsidRPr="000858D5">
              <w:rPr>
                <w:rFonts w:ascii="Times New Roman" w:hAnsi="Times New Roman" w:cs="Times New Roman"/>
                <w:sz w:val="24"/>
                <w:szCs w:val="24"/>
              </w:rPr>
              <w:t>90 percent of the ground area constituting the development to change a provision of</w:t>
            </w:r>
            <w:r w:rsidRPr="000858D5">
              <w:rPr>
                <w:rFonts w:ascii="Times New Roman" w:hAnsi="Times New Roman" w:cs="Times New Roman"/>
                <w:sz w:val="24"/>
                <w:szCs w:val="24"/>
              </w:rPr>
              <w:t xml:space="preserve"> the dedicatory instrument governing the permitted use of a property; or</w:t>
            </w:r>
          </w:p>
          <w:p w:rsidR="001449F4" w:rsidRPr="000858D5" w:rsidRDefault="00640A86" w:rsidP="00944158">
            <w:pPr>
              <w:pStyle w:val="NoSpacing"/>
              <w:numPr>
                <w:ilvl w:val="0"/>
                <w:numId w:val="2"/>
              </w:numPr>
              <w:jc w:val="both"/>
              <w:rPr>
                <w:rFonts w:ascii="Times New Roman" w:hAnsi="Times New Roman" w:cs="Times New Roman"/>
                <w:sz w:val="24"/>
                <w:szCs w:val="24"/>
              </w:rPr>
            </w:pPr>
            <w:r w:rsidRPr="000858D5">
              <w:rPr>
                <w:rFonts w:ascii="Times New Roman" w:hAnsi="Times New Roman" w:cs="Times New Roman"/>
                <w:sz w:val="24"/>
                <w:szCs w:val="24"/>
              </w:rPr>
              <w:t>60 percent of the ground area constituting the development to change a provision of the dedicatory instrument that is not related to the permitted use of a property; and</w:t>
            </w:r>
          </w:p>
          <w:p w:rsidR="00285273" w:rsidRDefault="00640A86" w:rsidP="00944158">
            <w:pPr>
              <w:pStyle w:val="Header"/>
              <w:numPr>
                <w:ilvl w:val="0"/>
                <w:numId w:val="3"/>
              </w:numPr>
              <w:tabs>
                <w:tab w:val="clear" w:pos="4320"/>
                <w:tab w:val="clear" w:pos="8640"/>
              </w:tabs>
              <w:jc w:val="both"/>
            </w:pPr>
            <w:r w:rsidRPr="000858D5">
              <w:t>provides that</w:t>
            </w:r>
            <w:r w:rsidRPr="000858D5">
              <w:t xml:space="preserve"> voting for an amendment is based on the number of acres owned by each owner.</w:t>
            </w:r>
          </w:p>
          <w:p w:rsidR="00285273" w:rsidRDefault="00640A86" w:rsidP="00944158">
            <w:pPr>
              <w:pStyle w:val="Header"/>
              <w:tabs>
                <w:tab w:val="clear" w:pos="4320"/>
                <w:tab w:val="clear" w:pos="8640"/>
              </w:tabs>
              <w:jc w:val="both"/>
            </w:pPr>
            <w:r>
              <w:t xml:space="preserve"> </w:t>
            </w:r>
          </w:p>
          <w:p w:rsidR="00E95ADD" w:rsidRDefault="00640A86" w:rsidP="00944158">
            <w:pPr>
              <w:pStyle w:val="Header"/>
              <w:tabs>
                <w:tab w:val="clear" w:pos="4320"/>
                <w:tab w:val="clear" w:pos="8640"/>
              </w:tabs>
              <w:jc w:val="both"/>
            </w:pPr>
            <w:r>
              <w:t xml:space="preserve">The substitute further revises the definition of "mixed-use real estate development" as a development that contains at least 200 acres and not more than 250 acres of </w:t>
            </w:r>
            <w:r>
              <w:t xml:space="preserve">deed-restricted property composed of at least 20 separate tracts or parcels of property. The substitute specifies that, for purposes of the </w:t>
            </w:r>
            <w:r>
              <w:t xml:space="preserve">revised </w:t>
            </w:r>
            <w:r>
              <w:t>definition, the commercial properties included as a development are properties that constitute at least 70 p</w:t>
            </w:r>
            <w:r>
              <w:t>ercent of the total land area of the development. The substitute includes office properties that constitute at least 50 percent of the total land area of the development in the revised definition.</w:t>
            </w:r>
          </w:p>
          <w:p w:rsidR="00ED7AE1" w:rsidRDefault="00640A86" w:rsidP="00944158">
            <w:pPr>
              <w:jc w:val="both"/>
            </w:pPr>
          </w:p>
          <w:p w:rsidR="0013327B" w:rsidRDefault="00640A86" w:rsidP="00944158">
            <w:pPr>
              <w:jc w:val="both"/>
            </w:pPr>
            <w:r>
              <w:t xml:space="preserve">The substitute includes a provision </w:t>
            </w:r>
            <w:r>
              <w:t>establishing that</w:t>
            </w:r>
            <w:r>
              <w:t xml:space="preserve"> an a</w:t>
            </w:r>
            <w:r>
              <w:t xml:space="preserve">mendment made to a declaration </w:t>
            </w:r>
            <w:r>
              <w:t xml:space="preserve">requires the current developer to consent to the amendment to be valid </w:t>
            </w:r>
            <w:r>
              <w:t>while the mixed-use real estate development has a current developer.</w:t>
            </w:r>
            <w:r>
              <w:t xml:space="preserve"> The </w:t>
            </w:r>
            <w:r>
              <w:t xml:space="preserve">substitute </w:t>
            </w:r>
            <w:r>
              <w:t>includes a definition of "current developer."</w:t>
            </w:r>
          </w:p>
          <w:p w:rsidR="00163294" w:rsidRPr="00163294" w:rsidRDefault="00640A86" w:rsidP="00944158">
            <w:pPr>
              <w:jc w:val="both"/>
            </w:pPr>
          </w:p>
        </w:tc>
      </w:tr>
    </w:tbl>
    <w:p w:rsidR="008423E4" w:rsidRPr="00BE0E75" w:rsidRDefault="00640A86" w:rsidP="008423E4">
      <w:pPr>
        <w:spacing w:line="480" w:lineRule="auto"/>
        <w:jc w:val="both"/>
        <w:rPr>
          <w:rFonts w:ascii="Arial" w:hAnsi="Arial"/>
          <w:sz w:val="16"/>
          <w:szCs w:val="16"/>
        </w:rPr>
      </w:pPr>
    </w:p>
    <w:p w:rsidR="004108C3" w:rsidRPr="008423E4" w:rsidRDefault="00640A8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0A86">
      <w:r>
        <w:separator/>
      </w:r>
    </w:p>
  </w:endnote>
  <w:endnote w:type="continuationSeparator" w:id="0">
    <w:p w:rsidR="00000000" w:rsidRDefault="0064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40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A0AA7" w:rsidTr="009C1E9A">
      <w:trPr>
        <w:cantSplit/>
      </w:trPr>
      <w:tc>
        <w:tcPr>
          <w:tcW w:w="0" w:type="pct"/>
        </w:tcPr>
        <w:p w:rsidR="00137D90" w:rsidRDefault="00640A86" w:rsidP="009C1E9A">
          <w:pPr>
            <w:pStyle w:val="Footer"/>
            <w:tabs>
              <w:tab w:val="clear" w:pos="8640"/>
              <w:tab w:val="right" w:pos="9360"/>
            </w:tabs>
          </w:pPr>
        </w:p>
      </w:tc>
      <w:tc>
        <w:tcPr>
          <w:tcW w:w="2395" w:type="pct"/>
        </w:tcPr>
        <w:p w:rsidR="00137D90" w:rsidRDefault="00640A86" w:rsidP="009C1E9A">
          <w:pPr>
            <w:pStyle w:val="Footer"/>
            <w:tabs>
              <w:tab w:val="clear" w:pos="8640"/>
              <w:tab w:val="right" w:pos="9360"/>
            </w:tabs>
          </w:pPr>
        </w:p>
        <w:p w:rsidR="001A4310" w:rsidRDefault="00640A86" w:rsidP="009C1E9A">
          <w:pPr>
            <w:pStyle w:val="Footer"/>
            <w:tabs>
              <w:tab w:val="clear" w:pos="8640"/>
              <w:tab w:val="right" w:pos="9360"/>
            </w:tabs>
          </w:pPr>
        </w:p>
        <w:p w:rsidR="00137D90" w:rsidRDefault="00640A86" w:rsidP="009C1E9A">
          <w:pPr>
            <w:pStyle w:val="Footer"/>
            <w:tabs>
              <w:tab w:val="clear" w:pos="8640"/>
              <w:tab w:val="right" w:pos="9360"/>
            </w:tabs>
          </w:pPr>
        </w:p>
      </w:tc>
      <w:tc>
        <w:tcPr>
          <w:tcW w:w="2453" w:type="pct"/>
        </w:tcPr>
        <w:p w:rsidR="00137D90" w:rsidRDefault="00640A86" w:rsidP="009C1E9A">
          <w:pPr>
            <w:pStyle w:val="Footer"/>
            <w:tabs>
              <w:tab w:val="clear" w:pos="8640"/>
              <w:tab w:val="right" w:pos="9360"/>
            </w:tabs>
            <w:jc w:val="right"/>
          </w:pPr>
        </w:p>
      </w:tc>
    </w:tr>
    <w:tr w:rsidR="00BA0AA7" w:rsidTr="009C1E9A">
      <w:trPr>
        <w:cantSplit/>
      </w:trPr>
      <w:tc>
        <w:tcPr>
          <w:tcW w:w="0" w:type="pct"/>
        </w:tcPr>
        <w:p w:rsidR="00EC379B" w:rsidRDefault="00640A86" w:rsidP="009C1E9A">
          <w:pPr>
            <w:pStyle w:val="Footer"/>
            <w:tabs>
              <w:tab w:val="clear" w:pos="8640"/>
              <w:tab w:val="right" w:pos="9360"/>
            </w:tabs>
          </w:pPr>
        </w:p>
      </w:tc>
      <w:tc>
        <w:tcPr>
          <w:tcW w:w="2395" w:type="pct"/>
        </w:tcPr>
        <w:p w:rsidR="00EC379B" w:rsidRPr="009C1E9A" w:rsidRDefault="00640A86" w:rsidP="0036085E">
          <w:pPr>
            <w:pStyle w:val="Footer"/>
            <w:tabs>
              <w:tab w:val="clear" w:pos="8640"/>
              <w:tab w:val="right" w:pos="9360"/>
            </w:tabs>
            <w:rPr>
              <w:rFonts w:ascii="Shruti" w:hAnsi="Shruti"/>
              <w:sz w:val="22"/>
            </w:rPr>
          </w:pPr>
          <w:r>
            <w:rPr>
              <w:rFonts w:ascii="Shruti" w:hAnsi="Shruti"/>
              <w:sz w:val="22"/>
            </w:rPr>
            <w:t>86R 33593</w:t>
          </w:r>
        </w:p>
      </w:tc>
      <w:tc>
        <w:tcPr>
          <w:tcW w:w="2453" w:type="pct"/>
        </w:tcPr>
        <w:p w:rsidR="00EC379B" w:rsidRDefault="00640A86" w:rsidP="009C1E9A">
          <w:pPr>
            <w:pStyle w:val="Footer"/>
            <w:tabs>
              <w:tab w:val="clear" w:pos="8640"/>
              <w:tab w:val="right" w:pos="9360"/>
            </w:tabs>
            <w:jc w:val="right"/>
          </w:pPr>
          <w:r>
            <w:fldChar w:fldCharType="begin"/>
          </w:r>
          <w:r>
            <w:instrText xml:space="preserve"> DOCPROPERTY  OTID  \* MERGEFORMAT </w:instrText>
          </w:r>
          <w:r>
            <w:fldChar w:fldCharType="separate"/>
          </w:r>
          <w:r>
            <w:t>19.133.743</w:t>
          </w:r>
          <w:r>
            <w:fldChar w:fldCharType="end"/>
          </w:r>
        </w:p>
      </w:tc>
    </w:tr>
    <w:tr w:rsidR="00BA0AA7" w:rsidTr="009C1E9A">
      <w:trPr>
        <w:cantSplit/>
      </w:trPr>
      <w:tc>
        <w:tcPr>
          <w:tcW w:w="0" w:type="pct"/>
        </w:tcPr>
        <w:p w:rsidR="00EC379B" w:rsidRDefault="00640A86" w:rsidP="009C1E9A">
          <w:pPr>
            <w:pStyle w:val="Footer"/>
            <w:tabs>
              <w:tab w:val="clear" w:pos="4320"/>
              <w:tab w:val="clear" w:pos="8640"/>
              <w:tab w:val="left" w:pos="2865"/>
            </w:tabs>
          </w:pPr>
        </w:p>
      </w:tc>
      <w:tc>
        <w:tcPr>
          <w:tcW w:w="2395" w:type="pct"/>
        </w:tcPr>
        <w:p w:rsidR="00EC379B" w:rsidRPr="009C1E9A" w:rsidRDefault="00640A86" w:rsidP="009C1E9A">
          <w:pPr>
            <w:pStyle w:val="Footer"/>
            <w:tabs>
              <w:tab w:val="clear" w:pos="4320"/>
              <w:tab w:val="clear" w:pos="8640"/>
              <w:tab w:val="left" w:pos="2865"/>
            </w:tabs>
            <w:rPr>
              <w:rFonts w:ascii="Shruti" w:hAnsi="Shruti"/>
              <w:sz w:val="22"/>
            </w:rPr>
          </w:pPr>
          <w:r>
            <w:rPr>
              <w:rFonts w:ascii="Shruti" w:hAnsi="Shruti"/>
              <w:sz w:val="22"/>
            </w:rPr>
            <w:t>Substitute Document Number: 86R 28411</w:t>
          </w:r>
        </w:p>
      </w:tc>
      <w:tc>
        <w:tcPr>
          <w:tcW w:w="2453" w:type="pct"/>
        </w:tcPr>
        <w:p w:rsidR="00EC379B" w:rsidRDefault="00640A86" w:rsidP="006D504F">
          <w:pPr>
            <w:pStyle w:val="Footer"/>
            <w:rPr>
              <w:rStyle w:val="PageNumber"/>
            </w:rPr>
          </w:pPr>
        </w:p>
        <w:p w:rsidR="00EC379B" w:rsidRDefault="00640A86" w:rsidP="009C1E9A">
          <w:pPr>
            <w:pStyle w:val="Footer"/>
            <w:tabs>
              <w:tab w:val="clear" w:pos="8640"/>
              <w:tab w:val="right" w:pos="9360"/>
            </w:tabs>
            <w:jc w:val="right"/>
          </w:pPr>
        </w:p>
      </w:tc>
    </w:tr>
    <w:tr w:rsidR="00BA0AA7" w:rsidTr="009C1E9A">
      <w:trPr>
        <w:cantSplit/>
        <w:trHeight w:val="323"/>
      </w:trPr>
      <w:tc>
        <w:tcPr>
          <w:tcW w:w="0" w:type="pct"/>
          <w:gridSpan w:val="3"/>
        </w:tcPr>
        <w:p w:rsidR="00EC379B" w:rsidRDefault="00640A8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640A86" w:rsidP="009C1E9A">
          <w:pPr>
            <w:pStyle w:val="Footer"/>
            <w:tabs>
              <w:tab w:val="clear" w:pos="8640"/>
              <w:tab w:val="right" w:pos="9360"/>
            </w:tabs>
            <w:jc w:val="center"/>
          </w:pPr>
        </w:p>
      </w:tc>
    </w:tr>
  </w:tbl>
  <w:p w:rsidR="00EC379B" w:rsidRPr="00FF6F72" w:rsidRDefault="00640A8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40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0A86">
      <w:r>
        <w:separator/>
      </w:r>
    </w:p>
  </w:footnote>
  <w:footnote w:type="continuationSeparator" w:id="0">
    <w:p w:rsidR="00000000" w:rsidRDefault="0064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40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40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40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601EB"/>
    <w:multiLevelType w:val="hybridMultilevel"/>
    <w:tmpl w:val="A15E1E5A"/>
    <w:lvl w:ilvl="0" w:tplc="5B0C33FA">
      <w:start w:val="1"/>
      <w:numFmt w:val="bullet"/>
      <w:lvlText w:val="o"/>
      <w:lvlJc w:val="left"/>
      <w:pPr>
        <w:ind w:left="1080" w:hanging="360"/>
      </w:pPr>
      <w:rPr>
        <w:rFonts w:ascii="Courier New" w:hAnsi="Courier New" w:cs="Courier New" w:hint="default"/>
      </w:rPr>
    </w:lvl>
    <w:lvl w:ilvl="1" w:tplc="7B224574" w:tentative="1">
      <w:start w:val="1"/>
      <w:numFmt w:val="bullet"/>
      <w:lvlText w:val="o"/>
      <w:lvlJc w:val="left"/>
      <w:pPr>
        <w:ind w:left="1800" w:hanging="360"/>
      </w:pPr>
      <w:rPr>
        <w:rFonts w:ascii="Courier New" w:hAnsi="Courier New" w:cs="Courier New" w:hint="default"/>
      </w:rPr>
    </w:lvl>
    <w:lvl w:ilvl="2" w:tplc="F978FFB2" w:tentative="1">
      <w:start w:val="1"/>
      <w:numFmt w:val="bullet"/>
      <w:lvlText w:val=""/>
      <w:lvlJc w:val="left"/>
      <w:pPr>
        <w:ind w:left="2520" w:hanging="360"/>
      </w:pPr>
      <w:rPr>
        <w:rFonts w:ascii="Wingdings" w:hAnsi="Wingdings" w:hint="default"/>
      </w:rPr>
    </w:lvl>
    <w:lvl w:ilvl="3" w:tplc="01A67FDC" w:tentative="1">
      <w:start w:val="1"/>
      <w:numFmt w:val="bullet"/>
      <w:lvlText w:val=""/>
      <w:lvlJc w:val="left"/>
      <w:pPr>
        <w:ind w:left="3240" w:hanging="360"/>
      </w:pPr>
      <w:rPr>
        <w:rFonts w:ascii="Symbol" w:hAnsi="Symbol" w:hint="default"/>
      </w:rPr>
    </w:lvl>
    <w:lvl w:ilvl="4" w:tplc="AF049D00" w:tentative="1">
      <w:start w:val="1"/>
      <w:numFmt w:val="bullet"/>
      <w:lvlText w:val="o"/>
      <w:lvlJc w:val="left"/>
      <w:pPr>
        <w:ind w:left="3960" w:hanging="360"/>
      </w:pPr>
      <w:rPr>
        <w:rFonts w:ascii="Courier New" w:hAnsi="Courier New" w:cs="Courier New" w:hint="default"/>
      </w:rPr>
    </w:lvl>
    <w:lvl w:ilvl="5" w:tplc="8D36C4D6" w:tentative="1">
      <w:start w:val="1"/>
      <w:numFmt w:val="bullet"/>
      <w:lvlText w:val=""/>
      <w:lvlJc w:val="left"/>
      <w:pPr>
        <w:ind w:left="4680" w:hanging="360"/>
      </w:pPr>
      <w:rPr>
        <w:rFonts w:ascii="Wingdings" w:hAnsi="Wingdings" w:hint="default"/>
      </w:rPr>
    </w:lvl>
    <w:lvl w:ilvl="6" w:tplc="C5D060C2" w:tentative="1">
      <w:start w:val="1"/>
      <w:numFmt w:val="bullet"/>
      <w:lvlText w:val=""/>
      <w:lvlJc w:val="left"/>
      <w:pPr>
        <w:ind w:left="5400" w:hanging="360"/>
      </w:pPr>
      <w:rPr>
        <w:rFonts w:ascii="Symbol" w:hAnsi="Symbol" w:hint="default"/>
      </w:rPr>
    </w:lvl>
    <w:lvl w:ilvl="7" w:tplc="483A4C88" w:tentative="1">
      <w:start w:val="1"/>
      <w:numFmt w:val="bullet"/>
      <w:lvlText w:val="o"/>
      <w:lvlJc w:val="left"/>
      <w:pPr>
        <w:ind w:left="6120" w:hanging="360"/>
      </w:pPr>
      <w:rPr>
        <w:rFonts w:ascii="Courier New" w:hAnsi="Courier New" w:cs="Courier New" w:hint="default"/>
      </w:rPr>
    </w:lvl>
    <w:lvl w:ilvl="8" w:tplc="7E5645EE" w:tentative="1">
      <w:start w:val="1"/>
      <w:numFmt w:val="bullet"/>
      <w:lvlText w:val=""/>
      <w:lvlJc w:val="left"/>
      <w:pPr>
        <w:ind w:left="6840" w:hanging="360"/>
      </w:pPr>
      <w:rPr>
        <w:rFonts w:ascii="Wingdings" w:hAnsi="Wingdings" w:hint="default"/>
      </w:rPr>
    </w:lvl>
  </w:abstractNum>
  <w:abstractNum w:abstractNumId="1" w15:restartNumberingAfterBreak="0">
    <w:nsid w:val="6BED2B92"/>
    <w:multiLevelType w:val="hybridMultilevel"/>
    <w:tmpl w:val="73E23870"/>
    <w:lvl w:ilvl="0" w:tplc="1F123932">
      <w:start w:val="1"/>
      <w:numFmt w:val="bullet"/>
      <w:lvlText w:val=""/>
      <w:lvlJc w:val="left"/>
      <w:pPr>
        <w:ind w:left="720" w:hanging="360"/>
      </w:pPr>
      <w:rPr>
        <w:rFonts w:ascii="Symbol" w:hAnsi="Symbol" w:hint="default"/>
      </w:rPr>
    </w:lvl>
    <w:lvl w:ilvl="1" w:tplc="7F72C5BC" w:tentative="1">
      <w:start w:val="1"/>
      <w:numFmt w:val="bullet"/>
      <w:lvlText w:val="o"/>
      <w:lvlJc w:val="left"/>
      <w:pPr>
        <w:ind w:left="1440" w:hanging="360"/>
      </w:pPr>
      <w:rPr>
        <w:rFonts w:ascii="Courier New" w:hAnsi="Courier New" w:cs="Courier New" w:hint="default"/>
      </w:rPr>
    </w:lvl>
    <w:lvl w:ilvl="2" w:tplc="572221A6" w:tentative="1">
      <w:start w:val="1"/>
      <w:numFmt w:val="bullet"/>
      <w:lvlText w:val=""/>
      <w:lvlJc w:val="left"/>
      <w:pPr>
        <w:ind w:left="2160" w:hanging="360"/>
      </w:pPr>
      <w:rPr>
        <w:rFonts w:ascii="Wingdings" w:hAnsi="Wingdings" w:hint="default"/>
      </w:rPr>
    </w:lvl>
    <w:lvl w:ilvl="3" w:tplc="503226EC" w:tentative="1">
      <w:start w:val="1"/>
      <w:numFmt w:val="bullet"/>
      <w:lvlText w:val=""/>
      <w:lvlJc w:val="left"/>
      <w:pPr>
        <w:ind w:left="2880" w:hanging="360"/>
      </w:pPr>
      <w:rPr>
        <w:rFonts w:ascii="Symbol" w:hAnsi="Symbol" w:hint="default"/>
      </w:rPr>
    </w:lvl>
    <w:lvl w:ilvl="4" w:tplc="95882836" w:tentative="1">
      <w:start w:val="1"/>
      <w:numFmt w:val="bullet"/>
      <w:lvlText w:val="o"/>
      <w:lvlJc w:val="left"/>
      <w:pPr>
        <w:ind w:left="3600" w:hanging="360"/>
      </w:pPr>
      <w:rPr>
        <w:rFonts w:ascii="Courier New" w:hAnsi="Courier New" w:cs="Courier New" w:hint="default"/>
      </w:rPr>
    </w:lvl>
    <w:lvl w:ilvl="5" w:tplc="E4369ED2" w:tentative="1">
      <w:start w:val="1"/>
      <w:numFmt w:val="bullet"/>
      <w:lvlText w:val=""/>
      <w:lvlJc w:val="left"/>
      <w:pPr>
        <w:ind w:left="4320" w:hanging="360"/>
      </w:pPr>
      <w:rPr>
        <w:rFonts w:ascii="Wingdings" w:hAnsi="Wingdings" w:hint="default"/>
      </w:rPr>
    </w:lvl>
    <w:lvl w:ilvl="6" w:tplc="53DA6424" w:tentative="1">
      <w:start w:val="1"/>
      <w:numFmt w:val="bullet"/>
      <w:lvlText w:val=""/>
      <w:lvlJc w:val="left"/>
      <w:pPr>
        <w:ind w:left="5040" w:hanging="360"/>
      </w:pPr>
      <w:rPr>
        <w:rFonts w:ascii="Symbol" w:hAnsi="Symbol" w:hint="default"/>
      </w:rPr>
    </w:lvl>
    <w:lvl w:ilvl="7" w:tplc="2B8AAFA8" w:tentative="1">
      <w:start w:val="1"/>
      <w:numFmt w:val="bullet"/>
      <w:lvlText w:val="o"/>
      <w:lvlJc w:val="left"/>
      <w:pPr>
        <w:ind w:left="5760" w:hanging="360"/>
      </w:pPr>
      <w:rPr>
        <w:rFonts w:ascii="Courier New" w:hAnsi="Courier New" w:cs="Courier New" w:hint="default"/>
      </w:rPr>
    </w:lvl>
    <w:lvl w:ilvl="8" w:tplc="355211FA" w:tentative="1">
      <w:start w:val="1"/>
      <w:numFmt w:val="bullet"/>
      <w:lvlText w:val=""/>
      <w:lvlJc w:val="left"/>
      <w:pPr>
        <w:ind w:left="6480" w:hanging="360"/>
      </w:pPr>
      <w:rPr>
        <w:rFonts w:ascii="Wingdings" w:hAnsi="Wingdings" w:hint="default"/>
      </w:rPr>
    </w:lvl>
  </w:abstractNum>
  <w:abstractNum w:abstractNumId="2" w15:restartNumberingAfterBreak="0">
    <w:nsid w:val="7153415B"/>
    <w:multiLevelType w:val="hybridMultilevel"/>
    <w:tmpl w:val="F1784858"/>
    <w:lvl w:ilvl="0" w:tplc="D35628EC">
      <w:start w:val="1"/>
      <w:numFmt w:val="bullet"/>
      <w:lvlText w:val=""/>
      <w:lvlJc w:val="left"/>
      <w:pPr>
        <w:ind w:left="720" w:hanging="360"/>
      </w:pPr>
      <w:rPr>
        <w:rFonts w:ascii="Symbol" w:hAnsi="Symbol" w:hint="default"/>
      </w:rPr>
    </w:lvl>
    <w:lvl w:ilvl="1" w:tplc="5E101B42" w:tentative="1">
      <w:start w:val="1"/>
      <w:numFmt w:val="bullet"/>
      <w:lvlText w:val="o"/>
      <w:lvlJc w:val="left"/>
      <w:pPr>
        <w:ind w:left="1440" w:hanging="360"/>
      </w:pPr>
      <w:rPr>
        <w:rFonts w:ascii="Courier New" w:hAnsi="Courier New" w:cs="Courier New" w:hint="default"/>
      </w:rPr>
    </w:lvl>
    <w:lvl w:ilvl="2" w:tplc="F99EDF62" w:tentative="1">
      <w:start w:val="1"/>
      <w:numFmt w:val="bullet"/>
      <w:lvlText w:val=""/>
      <w:lvlJc w:val="left"/>
      <w:pPr>
        <w:ind w:left="2160" w:hanging="360"/>
      </w:pPr>
      <w:rPr>
        <w:rFonts w:ascii="Wingdings" w:hAnsi="Wingdings" w:hint="default"/>
      </w:rPr>
    </w:lvl>
    <w:lvl w:ilvl="3" w:tplc="4A3EA494" w:tentative="1">
      <w:start w:val="1"/>
      <w:numFmt w:val="bullet"/>
      <w:lvlText w:val=""/>
      <w:lvlJc w:val="left"/>
      <w:pPr>
        <w:ind w:left="2880" w:hanging="360"/>
      </w:pPr>
      <w:rPr>
        <w:rFonts w:ascii="Symbol" w:hAnsi="Symbol" w:hint="default"/>
      </w:rPr>
    </w:lvl>
    <w:lvl w:ilvl="4" w:tplc="5DBC88E6" w:tentative="1">
      <w:start w:val="1"/>
      <w:numFmt w:val="bullet"/>
      <w:lvlText w:val="o"/>
      <w:lvlJc w:val="left"/>
      <w:pPr>
        <w:ind w:left="3600" w:hanging="360"/>
      </w:pPr>
      <w:rPr>
        <w:rFonts w:ascii="Courier New" w:hAnsi="Courier New" w:cs="Courier New" w:hint="default"/>
      </w:rPr>
    </w:lvl>
    <w:lvl w:ilvl="5" w:tplc="461CEE1E" w:tentative="1">
      <w:start w:val="1"/>
      <w:numFmt w:val="bullet"/>
      <w:lvlText w:val=""/>
      <w:lvlJc w:val="left"/>
      <w:pPr>
        <w:ind w:left="4320" w:hanging="360"/>
      </w:pPr>
      <w:rPr>
        <w:rFonts w:ascii="Wingdings" w:hAnsi="Wingdings" w:hint="default"/>
      </w:rPr>
    </w:lvl>
    <w:lvl w:ilvl="6" w:tplc="A4168196" w:tentative="1">
      <w:start w:val="1"/>
      <w:numFmt w:val="bullet"/>
      <w:lvlText w:val=""/>
      <w:lvlJc w:val="left"/>
      <w:pPr>
        <w:ind w:left="5040" w:hanging="360"/>
      </w:pPr>
      <w:rPr>
        <w:rFonts w:ascii="Symbol" w:hAnsi="Symbol" w:hint="default"/>
      </w:rPr>
    </w:lvl>
    <w:lvl w:ilvl="7" w:tplc="D034E8D0" w:tentative="1">
      <w:start w:val="1"/>
      <w:numFmt w:val="bullet"/>
      <w:lvlText w:val="o"/>
      <w:lvlJc w:val="left"/>
      <w:pPr>
        <w:ind w:left="5760" w:hanging="360"/>
      </w:pPr>
      <w:rPr>
        <w:rFonts w:ascii="Courier New" w:hAnsi="Courier New" w:cs="Courier New" w:hint="default"/>
      </w:rPr>
    </w:lvl>
    <w:lvl w:ilvl="8" w:tplc="17128F74" w:tentative="1">
      <w:start w:val="1"/>
      <w:numFmt w:val="bullet"/>
      <w:lvlText w:val=""/>
      <w:lvlJc w:val="left"/>
      <w:pPr>
        <w:ind w:left="6480" w:hanging="360"/>
      </w:pPr>
      <w:rPr>
        <w:rFonts w:ascii="Wingdings" w:hAnsi="Wingdings" w:hint="default"/>
      </w:rPr>
    </w:lvl>
  </w:abstractNum>
  <w:abstractNum w:abstractNumId="3" w15:restartNumberingAfterBreak="0">
    <w:nsid w:val="76A97A9C"/>
    <w:multiLevelType w:val="hybridMultilevel"/>
    <w:tmpl w:val="EA9CEA2C"/>
    <w:lvl w:ilvl="0" w:tplc="424232AA">
      <w:start w:val="1"/>
      <w:numFmt w:val="bullet"/>
      <w:lvlText w:val=""/>
      <w:lvlJc w:val="left"/>
      <w:pPr>
        <w:ind w:left="720" w:hanging="360"/>
      </w:pPr>
      <w:rPr>
        <w:rFonts w:ascii="Symbol" w:hAnsi="Symbol" w:hint="default"/>
      </w:rPr>
    </w:lvl>
    <w:lvl w:ilvl="1" w:tplc="17544132" w:tentative="1">
      <w:start w:val="1"/>
      <w:numFmt w:val="bullet"/>
      <w:lvlText w:val="o"/>
      <w:lvlJc w:val="left"/>
      <w:pPr>
        <w:ind w:left="1440" w:hanging="360"/>
      </w:pPr>
      <w:rPr>
        <w:rFonts w:ascii="Courier New" w:hAnsi="Courier New" w:cs="Courier New" w:hint="default"/>
      </w:rPr>
    </w:lvl>
    <w:lvl w:ilvl="2" w:tplc="706EB89A" w:tentative="1">
      <w:start w:val="1"/>
      <w:numFmt w:val="bullet"/>
      <w:lvlText w:val=""/>
      <w:lvlJc w:val="left"/>
      <w:pPr>
        <w:ind w:left="2160" w:hanging="360"/>
      </w:pPr>
      <w:rPr>
        <w:rFonts w:ascii="Wingdings" w:hAnsi="Wingdings" w:hint="default"/>
      </w:rPr>
    </w:lvl>
    <w:lvl w:ilvl="3" w:tplc="68AE61C4" w:tentative="1">
      <w:start w:val="1"/>
      <w:numFmt w:val="bullet"/>
      <w:lvlText w:val=""/>
      <w:lvlJc w:val="left"/>
      <w:pPr>
        <w:ind w:left="2880" w:hanging="360"/>
      </w:pPr>
      <w:rPr>
        <w:rFonts w:ascii="Symbol" w:hAnsi="Symbol" w:hint="default"/>
      </w:rPr>
    </w:lvl>
    <w:lvl w:ilvl="4" w:tplc="251ADF0C" w:tentative="1">
      <w:start w:val="1"/>
      <w:numFmt w:val="bullet"/>
      <w:lvlText w:val="o"/>
      <w:lvlJc w:val="left"/>
      <w:pPr>
        <w:ind w:left="3600" w:hanging="360"/>
      </w:pPr>
      <w:rPr>
        <w:rFonts w:ascii="Courier New" w:hAnsi="Courier New" w:cs="Courier New" w:hint="default"/>
      </w:rPr>
    </w:lvl>
    <w:lvl w:ilvl="5" w:tplc="71845B56" w:tentative="1">
      <w:start w:val="1"/>
      <w:numFmt w:val="bullet"/>
      <w:lvlText w:val=""/>
      <w:lvlJc w:val="left"/>
      <w:pPr>
        <w:ind w:left="4320" w:hanging="360"/>
      </w:pPr>
      <w:rPr>
        <w:rFonts w:ascii="Wingdings" w:hAnsi="Wingdings" w:hint="default"/>
      </w:rPr>
    </w:lvl>
    <w:lvl w:ilvl="6" w:tplc="7A1C292C" w:tentative="1">
      <w:start w:val="1"/>
      <w:numFmt w:val="bullet"/>
      <w:lvlText w:val=""/>
      <w:lvlJc w:val="left"/>
      <w:pPr>
        <w:ind w:left="5040" w:hanging="360"/>
      </w:pPr>
      <w:rPr>
        <w:rFonts w:ascii="Symbol" w:hAnsi="Symbol" w:hint="default"/>
      </w:rPr>
    </w:lvl>
    <w:lvl w:ilvl="7" w:tplc="D79C0162" w:tentative="1">
      <w:start w:val="1"/>
      <w:numFmt w:val="bullet"/>
      <w:lvlText w:val="o"/>
      <w:lvlJc w:val="left"/>
      <w:pPr>
        <w:ind w:left="5760" w:hanging="360"/>
      </w:pPr>
      <w:rPr>
        <w:rFonts w:ascii="Courier New" w:hAnsi="Courier New" w:cs="Courier New" w:hint="default"/>
      </w:rPr>
    </w:lvl>
    <w:lvl w:ilvl="8" w:tplc="4FA85D6E"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A7"/>
    <w:rsid w:val="00640A86"/>
    <w:rsid w:val="00BA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C507AF-C99D-46A3-A155-24E599DD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6354A"/>
    <w:rPr>
      <w:sz w:val="16"/>
      <w:szCs w:val="16"/>
    </w:rPr>
  </w:style>
  <w:style w:type="paragraph" w:styleId="CommentText">
    <w:name w:val="annotation text"/>
    <w:basedOn w:val="Normal"/>
    <w:link w:val="CommentTextChar"/>
    <w:semiHidden/>
    <w:unhideWhenUsed/>
    <w:rsid w:val="0066354A"/>
    <w:rPr>
      <w:sz w:val="20"/>
      <w:szCs w:val="20"/>
    </w:rPr>
  </w:style>
  <w:style w:type="character" w:customStyle="1" w:styleId="CommentTextChar">
    <w:name w:val="Comment Text Char"/>
    <w:basedOn w:val="DefaultParagraphFont"/>
    <w:link w:val="CommentText"/>
    <w:semiHidden/>
    <w:rsid w:val="0066354A"/>
  </w:style>
  <w:style w:type="paragraph" w:styleId="CommentSubject">
    <w:name w:val="annotation subject"/>
    <w:basedOn w:val="CommentText"/>
    <w:next w:val="CommentText"/>
    <w:link w:val="CommentSubjectChar"/>
    <w:semiHidden/>
    <w:unhideWhenUsed/>
    <w:rsid w:val="0066354A"/>
    <w:rPr>
      <w:b/>
      <w:bCs/>
    </w:rPr>
  </w:style>
  <w:style w:type="character" w:customStyle="1" w:styleId="CommentSubjectChar">
    <w:name w:val="Comment Subject Char"/>
    <w:basedOn w:val="CommentTextChar"/>
    <w:link w:val="CommentSubject"/>
    <w:semiHidden/>
    <w:rsid w:val="0066354A"/>
    <w:rPr>
      <w:b/>
      <w:bCs/>
    </w:rPr>
  </w:style>
  <w:style w:type="paragraph" w:styleId="HTMLPreformatted">
    <w:name w:val="HTML Preformatted"/>
    <w:basedOn w:val="Normal"/>
    <w:link w:val="HTMLPreformattedChar"/>
    <w:uiPriority w:val="99"/>
    <w:semiHidden/>
    <w:unhideWhenUsed/>
    <w:rsid w:val="0014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449F4"/>
    <w:rPr>
      <w:rFonts w:ascii="Courier New" w:hAnsi="Courier New" w:cs="Courier New"/>
    </w:rPr>
  </w:style>
  <w:style w:type="paragraph" w:styleId="NoSpacing">
    <w:name w:val="No Spacing"/>
    <w:uiPriority w:val="1"/>
    <w:qFormat/>
    <w:rsid w:val="001449F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4650</Characters>
  <Application>Microsoft Office Word</Application>
  <DocSecurity>4</DocSecurity>
  <Lines>102</Lines>
  <Paragraphs>31</Paragraphs>
  <ScaleCrop>false</ScaleCrop>
  <HeadingPairs>
    <vt:vector size="2" baseType="variant">
      <vt:variant>
        <vt:lpstr>Title</vt:lpstr>
      </vt:variant>
      <vt:variant>
        <vt:i4>1</vt:i4>
      </vt:variant>
    </vt:vector>
  </HeadingPairs>
  <TitlesOfParts>
    <vt:vector size="1" baseType="lpstr">
      <vt:lpstr>BA - SB01845 (Committee Report (Substituted))</vt:lpstr>
    </vt:vector>
  </TitlesOfParts>
  <Company>State of Texas</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33593</dc:subject>
  <dc:creator>State of Texas</dc:creator>
  <dc:description>SB 1845 by Miles-(H)Business &amp; Industry (Substitute Document Number: 86R 28411)</dc:description>
  <cp:lastModifiedBy>Erin Conway</cp:lastModifiedBy>
  <cp:revision>2</cp:revision>
  <cp:lastPrinted>2003-11-26T17:21:00Z</cp:lastPrinted>
  <dcterms:created xsi:type="dcterms:W3CDTF">2019-05-15T22:01:00Z</dcterms:created>
  <dcterms:modified xsi:type="dcterms:W3CDTF">2019-05-15T22:01:00Z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19.133.743</vt:lpwstr>
  </property>
</Properties>
</file>