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73F8F" w:rsidTr="00345119">
        <w:tc>
          <w:tcPr>
            <w:tcW w:w="9576" w:type="dxa"/>
            <w:noWrap/>
          </w:tcPr>
          <w:p w:rsidR="008423E4" w:rsidRPr="0022177D" w:rsidRDefault="00F93696" w:rsidP="00345119">
            <w:pPr>
              <w:pStyle w:val="Heading1"/>
            </w:pPr>
            <w:bookmarkStart w:id="0" w:name="_GoBack"/>
            <w:bookmarkEnd w:id="0"/>
            <w:r w:rsidRPr="00631897">
              <w:t>BILL ANALYSIS</w:t>
            </w:r>
          </w:p>
        </w:tc>
      </w:tr>
    </w:tbl>
    <w:p w:rsidR="008423E4" w:rsidRPr="0022177D" w:rsidRDefault="00F93696" w:rsidP="008423E4">
      <w:pPr>
        <w:jc w:val="center"/>
      </w:pPr>
    </w:p>
    <w:p w:rsidR="008423E4" w:rsidRPr="00B31F0E" w:rsidRDefault="00F93696" w:rsidP="008423E4"/>
    <w:p w:rsidR="008423E4" w:rsidRPr="00742794" w:rsidRDefault="00F93696" w:rsidP="008423E4">
      <w:pPr>
        <w:tabs>
          <w:tab w:val="right" w:pos="9360"/>
        </w:tabs>
      </w:pPr>
    </w:p>
    <w:tbl>
      <w:tblPr>
        <w:tblW w:w="0" w:type="auto"/>
        <w:tblLayout w:type="fixed"/>
        <w:tblLook w:val="01E0" w:firstRow="1" w:lastRow="1" w:firstColumn="1" w:lastColumn="1" w:noHBand="0" w:noVBand="0"/>
      </w:tblPr>
      <w:tblGrid>
        <w:gridCol w:w="9576"/>
      </w:tblGrid>
      <w:tr w:rsidR="00F73F8F" w:rsidTr="00345119">
        <w:tc>
          <w:tcPr>
            <w:tcW w:w="9576" w:type="dxa"/>
          </w:tcPr>
          <w:p w:rsidR="008423E4" w:rsidRPr="00861995" w:rsidRDefault="00F93696" w:rsidP="00345119">
            <w:pPr>
              <w:jc w:val="right"/>
            </w:pPr>
            <w:r>
              <w:t>S.B. 1859</w:t>
            </w:r>
          </w:p>
        </w:tc>
      </w:tr>
      <w:tr w:rsidR="00F73F8F" w:rsidTr="00345119">
        <w:tc>
          <w:tcPr>
            <w:tcW w:w="9576" w:type="dxa"/>
          </w:tcPr>
          <w:p w:rsidR="008423E4" w:rsidRPr="00861995" w:rsidRDefault="00F93696" w:rsidP="007963ED">
            <w:pPr>
              <w:jc w:val="right"/>
            </w:pPr>
            <w:r>
              <w:t xml:space="preserve">By: </w:t>
            </w:r>
            <w:r>
              <w:t>Hancock</w:t>
            </w:r>
          </w:p>
        </w:tc>
      </w:tr>
      <w:tr w:rsidR="00F73F8F" w:rsidTr="00345119">
        <w:tc>
          <w:tcPr>
            <w:tcW w:w="9576" w:type="dxa"/>
          </w:tcPr>
          <w:p w:rsidR="008423E4" w:rsidRPr="00861995" w:rsidRDefault="00F93696" w:rsidP="00345119">
            <w:pPr>
              <w:jc w:val="right"/>
            </w:pPr>
            <w:r>
              <w:t>Business &amp; Industry</w:t>
            </w:r>
          </w:p>
        </w:tc>
      </w:tr>
      <w:tr w:rsidR="00F73F8F" w:rsidTr="00345119">
        <w:tc>
          <w:tcPr>
            <w:tcW w:w="9576" w:type="dxa"/>
          </w:tcPr>
          <w:p w:rsidR="008423E4" w:rsidRDefault="00F93696" w:rsidP="00345119">
            <w:pPr>
              <w:jc w:val="right"/>
            </w:pPr>
            <w:r>
              <w:t>Committee Report (Unamended)</w:t>
            </w:r>
          </w:p>
        </w:tc>
      </w:tr>
    </w:tbl>
    <w:p w:rsidR="008423E4" w:rsidRDefault="00F93696" w:rsidP="008423E4">
      <w:pPr>
        <w:tabs>
          <w:tab w:val="right" w:pos="9360"/>
        </w:tabs>
      </w:pPr>
    </w:p>
    <w:p w:rsidR="008423E4" w:rsidRDefault="00F93696" w:rsidP="008423E4"/>
    <w:p w:rsidR="008423E4" w:rsidRDefault="00F93696" w:rsidP="008423E4"/>
    <w:tbl>
      <w:tblPr>
        <w:tblW w:w="0" w:type="auto"/>
        <w:tblCellMar>
          <w:left w:w="115" w:type="dxa"/>
          <w:right w:w="115" w:type="dxa"/>
        </w:tblCellMar>
        <w:tblLook w:val="01E0" w:firstRow="1" w:lastRow="1" w:firstColumn="1" w:lastColumn="1" w:noHBand="0" w:noVBand="0"/>
      </w:tblPr>
      <w:tblGrid>
        <w:gridCol w:w="9576"/>
      </w:tblGrid>
      <w:tr w:rsidR="00F73F8F" w:rsidTr="00345119">
        <w:tc>
          <w:tcPr>
            <w:tcW w:w="9576" w:type="dxa"/>
          </w:tcPr>
          <w:p w:rsidR="008423E4" w:rsidRPr="00A8133F" w:rsidRDefault="00F93696" w:rsidP="004B6802">
            <w:pPr>
              <w:rPr>
                <w:b/>
              </w:rPr>
            </w:pPr>
            <w:r w:rsidRPr="009C1E9A">
              <w:rPr>
                <w:b/>
                <w:u w:val="single"/>
              </w:rPr>
              <w:t>BACKGROUND AND PURPOSE</w:t>
            </w:r>
            <w:r>
              <w:rPr>
                <w:b/>
              </w:rPr>
              <w:t xml:space="preserve"> </w:t>
            </w:r>
          </w:p>
          <w:p w:rsidR="008423E4" w:rsidRDefault="00F93696" w:rsidP="004B6802"/>
          <w:p w:rsidR="0017518B" w:rsidRDefault="00F93696" w:rsidP="00041A61">
            <w:pPr>
              <w:pStyle w:val="Header"/>
              <w:tabs>
                <w:tab w:val="clear" w:pos="4320"/>
                <w:tab w:val="clear" w:pos="8640"/>
              </w:tabs>
              <w:jc w:val="both"/>
            </w:pPr>
            <w:r>
              <w:t>It has been noted that</w:t>
            </w:r>
            <w:r>
              <w:t>,</w:t>
            </w:r>
            <w:r>
              <w:t xml:space="preserve"> since its adoption in 2003,</w:t>
            </w:r>
            <w:r w:rsidRPr="00B36076">
              <w:t xml:space="preserve"> the Business Organizations Code </w:t>
            </w:r>
            <w:r>
              <w:t xml:space="preserve">has undergone a number of technical and </w:t>
            </w:r>
            <w:r>
              <w:t>substantive revisions. There have been calls for that code to be revised on</w:t>
            </w:r>
            <w:r>
              <w:t>c</w:t>
            </w:r>
            <w:r>
              <w:t xml:space="preserve">e again, particularly with respect </w:t>
            </w:r>
            <w:r w:rsidRPr="00B36076">
              <w:t>to partnership</w:t>
            </w:r>
            <w:r>
              <w:t>s</w:t>
            </w:r>
            <w:r w:rsidRPr="00B36076">
              <w:t xml:space="preserve">, limited liability companies, </w:t>
            </w:r>
            <w:r>
              <w:t xml:space="preserve">use of </w:t>
            </w:r>
            <w:r>
              <w:t xml:space="preserve">electronic data systems, </w:t>
            </w:r>
            <w:r w:rsidRPr="00B36076">
              <w:t xml:space="preserve">and </w:t>
            </w:r>
            <w:r>
              <w:t xml:space="preserve">the </w:t>
            </w:r>
            <w:r w:rsidRPr="00B36076">
              <w:t>delayed effectiveness of filing</w:t>
            </w:r>
            <w:r>
              <w:t xml:space="preserve"> </w:t>
            </w:r>
            <w:r>
              <w:t>instruments</w:t>
            </w:r>
            <w:r w:rsidRPr="00B36076">
              <w:t xml:space="preserve">. </w:t>
            </w:r>
            <w:r>
              <w:t>S.B. 1859</w:t>
            </w:r>
            <w:r>
              <w:t xml:space="preserve"> seek</w:t>
            </w:r>
            <w:r>
              <w:t>s to make those revisions.</w:t>
            </w:r>
            <w:r w:rsidRPr="00B36076">
              <w:t xml:space="preserve"> </w:t>
            </w:r>
          </w:p>
          <w:p w:rsidR="008423E4" w:rsidRPr="00E26B13" w:rsidRDefault="00F93696" w:rsidP="004B6802">
            <w:pPr>
              <w:pStyle w:val="Header"/>
              <w:tabs>
                <w:tab w:val="clear" w:pos="4320"/>
                <w:tab w:val="clear" w:pos="8640"/>
              </w:tabs>
              <w:jc w:val="both"/>
              <w:rPr>
                <w:b/>
              </w:rPr>
            </w:pPr>
          </w:p>
        </w:tc>
      </w:tr>
      <w:tr w:rsidR="00F73F8F" w:rsidTr="00345119">
        <w:tc>
          <w:tcPr>
            <w:tcW w:w="9576" w:type="dxa"/>
          </w:tcPr>
          <w:p w:rsidR="0017725B" w:rsidRDefault="00F93696" w:rsidP="004B6802">
            <w:pPr>
              <w:rPr>
                <w:b/>
                <w:u w:val="single"/>
              </w:rPr>
            </w:pPr>
            <w:r>
              <w:rPr>
                <w:b/>
                <w:u w:val="single"/>
              </w:rPr>
              <w:t>CRIMINAL JUSTICE IMPACT</w:t>
            </w:r>
          </w:p>
          <w:p w:rsidR="0017725B" w:rsidRDefault="00F93696" w:rsidP="00041A61">
            <w:pPr>
              <w:rPr>
                <w:b/>
                <w:u w:val="single"/>
              </w:rPr>
            </w:pPr>
          </w:p>
          <w:p w:rsidR="001F0CC8" w:rsidRPr="001F0CC8" w:rsidRDefault="00F93696" w:rsidP="00041A61">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rsidR="0017725B" w:rsidRPr="0017725B" w:rsidRDefault="00F93696" w:rsidP="004B6802">
            <w:pPr>
              <w:rPr>
                <w:b/>
                <w:u w:val="single"/>
              </w:rPr>
            </w:pPr>
          </w:p>
        </w:tc>
      </w:tr>
      <w:tr w:rsidR="00F73F8F" w:rsidTr="00345119">
        <w:tc>
          <w:tcPr>
            <w:tcW w:w="9576" w:type="dxa"/>
          </w:tcPr>
          <w:p w:rsidR="008423E4" w:rsidRPr="00A8133F" w:rsidRDefault="00F93696" w:rsidP="004B6802">
            <w:pPr>
              <w:rPr>
                <w:b/>
              </w:rPr>
            </w:pPr>
            <w:r w:rsidRPr="009C1E9A">
              <w:rPr>
                <w:b/>
                <w:u w:val="single"/>
              </w:rPr>
              <w:t>RULEMAKING AUTHORITY</w:t>
            </w:r>
            <w:r>
              <w:rPr>
                <w:b/>
              </w:rPr>
              <w:t xml:space="preserve"> </w:t>
            </w:r>
          </w:p>
          <w:p w:rsidR="008423E4" w:rsidRDefault="00F93696" w:rsidP="00041A61"/>
          <w:p w:rsidR="001F0CC8" w:rsidRDefault="00F93696" w:rsidP="00041A61">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F93696" w:rsidP="004B6802">
            <w:pPr>
              <w:rPr>
                <w:b/>
              </w:rPr>
            </w:pPr>
          </w:p>
        </w:tc>
      </w:tr>
      <w:tr w:rsidR="00F73F8F" w:rsidTr="00345119">
        <w:tc>
          <w:tcPr>
            <w:tcW w:w="9576" w:type="dxa"/>
          </w:tcPr>
          <w:p w:rsidR="00745F64" w:rsidRDefault="00F93696" w:rsidP="004B6802">
            <w:pPr>
              <w:rPr>
                <w:b/>
              </w:rPr>
            </w:pPr>
            <w:r w:rsidRPr="009C1E9A">
              <w:rPr>
                <w:b/>
                <w:u w:val="single"/>
              </w:rPr>
              <w:t>ANALYSIS</w:t>
            </w:r>
          </w:p>
          <w:p w:rsidR="008423E4" w:rsidRPr="007E2DC7" w:rsidRDefault="00F93696" w:rsidP="00041A61">
            <w:pPr>
              <w:rPr>
                <w:b/>
              </w:rPr>
            </w:pPr>
          </w:p>
          <w:p w:rsidR="008423E4" w:rsidRDefault="00F93696" w:rsidP="00041A61">
            <w:pPr>
              <w:pStyle w:val="Header"/>
              <w:tabs>
                <w:tab w:val="clear" w:pos="4320"/>
                <w:tab w:val="clear" w:pos="8640"/>
              </w:tabs>
              <w:jc w:val="both"/>
            </w:pPr>
            <w:r>
              <w:t>S.B. 1859</w:t>
            </w:r>
            <w:r>
              <w:t xml:space="preserve"> amends the Business Organization</w:t>
            </w:r>
            <w:r>
              <w:t>s</w:t>
            </w:r>
            <w:r>
              <w:t xml:space="preserve"> Code to </w:t>
            </w:r>
            <w:r>
              <w:t xml:space="preserve">authorize </w:t>
            </w:r>
            <w:r>
              <w:t xml:space="preserve">the books, records, minutes, and ownership or membership records of any </w:t>
            </w:r>
            <w:r w:rsidRPr="0019368B">
              <w:t xml:space="preserve">domestic </w:t>
            </w:r>
            <w:r>
              <w:t xml:space="preserve">filing </w:t>
            </w:r>
            <w:r w:rsidRPr="0019368B">
              <w:t>entity</w:t>
            </w:r>
            <w:r>
              <w:t xml:space="preserve"> </w:t>
            </w:r>
            <w:r>
              <w:t>to</w:t>
            </w:r>
            <w:r>
              <w:t xml:space="preserve"> </w:t>
            </w:r>
            <w:r>
              <w:t xml:space="preserve">be maintained by or on </w:t>
            </w:r>
            <w:r w:rsidRPr="003A2112">
              <w:t xml:space="preserve">behalf of </w:t>
            </w:r>
            <w:r>
              <w:t xml:space="preserve">the </w:t>
            </w:r>
            <w:r w:rsidRPr="003A2112">
              <w:t xml:space="preserve">filing entity on, or by means of, </w:t>
            </w:r>
            <w:r w:rsidRPr="003A2112">
              <w:t>an information storage device or method or one or more electronic data systems, provided that any books, records, minutes, and ownership or membership records so maintained can be converted into written paper form within a reasonable time.</w:t>
            </w:r>
            <w:r>
              <w:t xml:space="preserve"> </w:t>
            </w:r>
            <w:r>
              <w:t>The bill clarifi</w:t>
            </w:r>
            <w:r>
              <w:t xml:space="preserve">es that the term "electronic </w:t>
            </w:r>
            <w:r>
              <w:t>data system" includes a distributed electronic network or database</w:t>
            </w:r>
            <w:r>
              <w:t xml:space="preserve">, including one that employs </w:t>
            </w:r>
            <w:r>
              <w:t xml:space="preserve">blockchain or distributed ledger technology. </w:t>
            </w:r>
            <w:r>
              <w:t>The</w:t>
            </w:r>
            <w:r>
              <w:t xml:space="preserve"> bill removes the specification that </w:t>
            </w:r>
            <w:r>
              <w:t>the</w:t>
            </w:r>
            <w:r>
              <w:t xml:space="preserve"> location at which the</w:t>
            </w:r>
            <w:r>
              <w:t xml:space="preserve"> </w:t>
            </w:r>
            <w:r>
              <w:t xml:space="preserve">filing entity </w:t>
            </w:r>
            <w:r>
              <w:t>is requ</w:t>
            </w:r>
            <w:r>
              <w:t>ired to keep</w:t>
            </w:r>
            <w:r>
              <w:t xml:space="preserve"> the </w:t>
            </w:r>
            <w:r>
              <w:t xml:space="preserve">current record of the name and mailing address of each owner or member of the filing entity </w:t>
            </w:r>
            <w:r>
              <w:t>is</w:t>
            </w:r>
            <w:r>
              <w:t xml:space="preserve"> </w:t>
            </w:r>
            <w:r>
              <w:t xml:space="preserve">at </w:t>
            </w:r>
            <w:r>
              <w:t xml:space="preserve">the entity's </w:t>
            </w:r>
            <w:r>
              <w:t xml:space="preserve">registered office or principal place of business or </w:t>
            </w:r>
            <w:r>
              <w:t xml:space="preserve">at </w:t>
            </w:r>
            <w:r>
              <w:t xml:space="preserve">the office of </w:t>
            </w:r>
            <w:r>
              <w:t xml:space="preserve">the entity's </w:t>
            </w:r>
            <w:r>
              <w:t xml:space="preserve">transfer agent or registrar. </w:t>
            </w:r>
            <w:r>
              <w:t xml:space="preserve">The bill authorizes all supplemental books and </w:t>
            </w:r>
            <w:r>
              <w:t>records</w:t>
            </w:r>
            <w:r>
              <w:t xml:space="preserve"> require</w:t>
            </w:r>
            <w:r>
              <w:t>d</w:t>
            </w:r>
            <w:r>
              <w:t xml:space="preserve"> to be maintained by a </w:t>
            </w:r>
            <w:r>
              <w:t xml:space="preserve">domestic </w:t>
            </w:r>
            <w:r>
              <w:t>limited liability company</w:t>
            </w:r>
            <w:r>
              <w:t>, and all books and records required to be maintained by a domestic limited partnership,</w:t>
            </w:r>
            <w:r>
              <w:t xml:space="preserve"> </w:t>
            </w:r>
            <w:r>
              <w:t>to</w:t>
            </w:r>
            <w:r>
              <w:t xml:space="preserve"> be maintained in any form and manner permitt</w:t>
            </w:r>
            <w:r>
              <w:t xml:space="preserve">ed for the </w:t>
            </w:r>
            <w:r w:rsidRPr="003F3E0E">
              <w:t>primary</w:t>
            </w:r>
            <w:r>
              <w:t xml:space="preserve"> records of a </w:t>
            </w:r>
            <w:r w:rsidRPr="003F3E0E">
              <w:t>domestic</w:t>
            </w:r>
            <w:r>
              <w:t xml:space="preserve"> </w:t>
            </w:r>
            <w:r>
              <w:t xml:space="preserve">filing entity. </w:t>
            </w:r>
            <w:r>
              <w:t xml:space="preserve"> </w:t>
            </w:r>
          </w:p>
          <w:p w:rsidR="00783FCC" w:rsidRDefault="00F93696" w:rsidP="00041A61">
            <w:pPr>
              <w:pStyle w:val="Header"/>
              <w:tabs>
                <w:tab w:val="clear" w:pos="4320"/>
                <w:tab w:val="clear" w:pos="8640"/>
              </w:tabs>
              <w:jc w:val="both"/>
            </w:pPr>
            <w:r>
              <w:t xml:space="preserve"> </w:t>
            </w:r>
          </w:p>
          <w:p w:rsidR="00B9643F" w:rsidRDefault="00F93696" w:rsidP="00041A61">
            <w:pPr>
              <w:pStyle w:val="Header"/>
              <w:tabs>
                <w:tab w:val="clear" w:pos="4320"/>
                <w:tab w:val="clear" w:pos="8640"/>
              </w:tabs>
              <w:jc w:val="both"/>
            </w:pPr>
            <w:r>
              <w:t>S.B. 1859</w:t>
            </w:r>
            <w:r w:rsidRPr="003F3E0E">
              <w:t xml:space="preserve"> </w:t>
            </w:r>
            <w:r>
              <w:t>revises the definition of "shareholder" or "holder of shares" to clarify that share transfer records may be maintained on behalf of a for-profit corporation</w:t>
            </w:r>
            <w:r>
              <w:t>, professional corporation, or</w:t>
            </w:r>
            <w:r>
              <w:t xml:space="preserve"> real estate investment trust</w:t>
            </w:r>
            <w:r>
              <w:t xml:space="preserve">. </w:t>
            </w:r>
            <w:r>
              <w:t xml:space="preserve">The bill </w:t>
            </w:r>
            <w:r>
              <w:t xml:space="preserve">provides </w:t>
            </w:r>
            <w:r w:rsidRPr="003F3E0E">
              <w:t>the option for notice regarding an uncertificated ownership interest</w:t>
            </w:r>
            <w:r w:rsidRPr="003F3E0E">
              <w:t xml:space="preserve"> in a domestic entity</w:t>
            </w:r>
            <w:r w:rsidRPr="003F3E0E">
              <w:t xml:space="preserve"> to be provided t</w:t>
            </w:r>
            <w:r w:rsidRPr="003F3E0E">
              <w:t>o the owner of that interest by</w:t>
            </w:r>
            <w:r w:rsidRPr="008171C0">
              <w:t xml:space="preserve"> electronic transmission as an alternative to being provided in writin</w:t>
            </w:r>
            <w:r w:rsidRPr="008171C0">
              <w:t>g.</w:t>
            </w:r>
            <w:r>
              <w:t xml:space="preserve"> </w:t>
            </w:r>
            <w:r>
              <w:t xml:space="preserve">The bill removes the specification that the domestic entity provides that notice. </w:t>
            </w:r>
          </w:p>
          <w:p w:rsidR="00B9643F" w:rsidRDefault="00F93696" w:rsidP="00041A61">
            <w:pPr>
              <w:pStyle w:val="Header"/>
              <w:tabs>
                <w:tab w:val="clear" w:pos="4320"/>
                <w:tab w:val="clear" w:pos="8640"/>
              </w:tabs>
              <w:jc w:val="both"/>
            </w:pPr>
          </w:p>
          <w:p w:rsidR="00403F0F" w:rsidRDefault="00F93696" w:rsidP="00041A61">
            <w:pPr>
              <w:pStyle w:val="Header"/>
              <w:tabs>
                <w:tab w:val="clear" w:pos="4320"/>
                <w:tab w:val="clear" w:pos="8640"/>
              </w:tabs>
              <w:jc w:val="both"/>
            </w:pPr>
            <w:r>
              <w:t>S.B. 1859</w:t>
            </w:r>
            <w:r>
              <w:t xml:space="preserve"> </w:t>
            </w:r>
            <w:r>
              <w:t xml:space="preserve">expands the </w:t>
            </w:r>
            <w:r>
              <w:t xml:space="preserve">options for delaying the effectiveness of </w:t>
            </w:r>
            <w:r>
              <w:t>a filing instrument</w:t>
            </w:r>
            <w:r>
              <w:t xml:space="preserve"> to authorize a filing instrument whose effectiveness is to be delayed to take effect</w:t>
            </w:r>
            <w:r>
              <w:t>:</w:t>
            </w:r>
            <w:r>
              <w:t xml:space="preserve"> </w:t>
            </w:r>
          </w:p>
          <w:p w:rsidR="00403F0F" w:rsidRDefault="00F93696" w:rsidP="00041A61">
            <w:pPr>
              <w:pStyle w:val="Header"/>
              <w:numPr>
                <w:ilvl w:val="0"/>
                <w:numId w:val="1"/>
              </w:numPr>
              <w:tabs>
                <w:tab w:val="clear" w:pos="4320"/>
                <w:tab w:val="clear" w:pos="8640"/>
              </w:tabs>
              <w:spacing w:before="120" w:after="120"/>
              <w:jc w:val="both"/>
            </w:pPr>
            <w:r>
              <w:t>at a specified</w:t>
            </w:r>
            <w:r>
              <w:t xml:space="preserve"> date; </w:t>
            </w:r>
          </w:p>
          <w:p w:rsidR="00403F0F" w:rsidRDefault="00F93696" w:rsidP="00041A61">
            <w:pPr>
              <w:pStyle w:val="Header"/>
              <w:numPr>
                <w:ilvl w:val="0"/>
                <w:numId w:val="1"/>
              </w:numPr>
              <w:tabs>
                <w:tab w:val="clear" w:pos="4320"/>
                <w:tab w:val="clear" w:pos="8640"/>
              </w:tabs>
              <w:spacing w:before="120" w:after="120"/>
              <w:jc w:val="both"/>
            </w:pPr>
            <w:r>
              <w:t>at a specified date and time;</w:t>
            </w:r>
            <w:r>
              <w:t xml:space="preserve"> </w:t>
            </w:r>
          </w:p>
          <w:p w:rsidR="003D2979" w:rsidRDefault="00F93696" w:rsidP="00041A61">
            <w:pPr>
              <w:pStyle w:val="Header"/>
              <w:numPr>
                <w:ilvl w:val="0"/>
                <w:numId w:val="1"/>
              </w:numPr>
              <w:tabs>
                <w:tab w:val="clear" w:pos="4320"/>
                <w:tab w:val="clear" w:pos="8640"/>
              </w:tabs>
              <w:spacing w:before="120" w:after="120"/>
              <w:jc w:val="both"/>
            </w:pPr>
            <w:r>
              <w:t>on the occurrence of a specified future event or fact,</w:t>
            </w:r>
            <w:r>
              <w:t xml:space="preserve"> including an act of any person;</w:t>
            </w:r>
            <w:r>
              <w:t xml:space="preserve"> or </w:t>
            </w:r>
          </w:p>
          <w:p w:rsidR="00666C88" w:rsidRDefault="00F93696" w:rsidP="00041A61">
            <w:pPr>
              <w:pStyle w:val="Header"/>
              <w:numPr>
                <w:ilvl w:val="0"/>
                <w:numId w:val="1"/>
              </w:numPr>
              <w:tabs>
                <w:tab w:val="clear" w:pos="4320"/>
                <w:tab w:val="clear" w:pos="8640"/>
              </w:tabs>
              <w:spacing w:before="120" w:after="120"/>
              <w:jc w:val="both"/>
            </w:pPr>
            <w:r w:rsidRPr="00783FCC">
              <w:t xml:space="preserve">after the occurrence of a future event or fact, including the act of any person, at a specified date, at a </w:t>
            </w:r>
            <w:r w:rsidRPr="00783FCC">
              <w:t>specified date and time, or after the passage of a specified period of time.</w:t>
            </w:r>
            <w:r>
              <w:t xml:space="preserve"> </w:t>
            </w:r>
          </w:p>
          <w:p w:rsidR="00327C8A" w:rsidRDefault="00F93696" w:rsidP="00041A61">
            <w:pPr>
              <w:pStyle w:val="Header"/>
              <w:tabs>
                <w:tab w:val="clear" w:pos="4320"/>
                <w:tab w:val="clear" w:pos="8640"/>
              </w:tabs>
              <w:jc w:val="both"/>
            </w:pPr>
          </w:p>
          <w:p w:rsidR="006045FE" w:rsidRDefault="00F93696" w:rsidP="00041A61">
            <w:pPr>
              <w:pStyle w:val="Header"/>
              <w:tabs>
                <w:tab w:val="clear" w:pos="4320"/>
                <w:tab w:val="clear" w:pos="8640"/>
              </w:tabs>
              <w:jc w:val="both"/>
            </w:pPr>
            <w:r>
              <w:t>S.B. 1859</w:t>
            </w:r>
            <w:r>
              <w:t xml:space="preserve"> makes conforming changes and other clarifying revisions with respect to a filing instrument with delayed effectiveness.</w:t>
            </w:r>
            <w:r>
              <w:t xml:space="preserve"> </w:t>
            </w:r>
          </w:p>
          <w:p w:rsidR="006045FE" w:rsidRDefault="00F93696" w:rsidP="00041A61">
            <w:pPr>
              <w:pStyle w:val="Header"/>
              <w:tabs>
                <w:tab w:val="clear" w:pos="4320"/>
                <w:tab w:val="clear" w:pos="8640"/>
              </w:tabs>
              <w:jc w:val="both"/>
            </w:pPr>
          </w:p>
          <w:p w:rsidR="00BD27D8" w:rsidRDefault="00F93696" w:rsidP="00041A61">
            <w:pPr>
              <w:pStyle w:val="Header"/>
              <w:tabs>
                <w:tab w:val="clear" w:pos="4320"/>
                <w:tab w:val="clear" w:pos="8640"/>
              </w:tabs>
              <w:jc w:val="both"/>
            </w:pPr>
            <w:r>
              <w:t>S.B. 1859</w:t>
            </w:r>
            <w:r>
              <w:t xml:space="preserve"> </w:t>
            </w:r>
            <w:r>
              <w:t>updates</w:t>
            </w:r>
            <w:r>
              <w:t xml:space="preserve"> language regarding indistinguishable entity names in </w:t>
            </w:r>
            <w:r>
              <w:t>a provision</w:t>
            </w:r>
            <w:r>
              <w:t xml:space="preserve"> relating to the abandonment of a filing instrument before effectiveness. The bill</w:t>
            </w:r>
            <w:r>
              <w:t xml:space="preserve"> </w:t>
            </w:r>
            <w:r>
              <w:t xml:space="preserve">clarifies that an electronic transmission of a consent by an owner, member, or governing person of a filing </w:t>
            </w:r>
            <w:r>
              <w:t xml:space="preserve">entity may be transmitted on behalf of the owner, member, or governing person. The bill </w:t>
            </w:r>
            <w:r>
              <w:t xml:space="preserve">removes the prohibition </w:t>
            </w:r>
            <w:r>
              <w:t xml:space="preserve">against </w:t>
            </w:r>
            <w:r>
              <w:t xml:space="preserve">a </w:t>
            </w:r>
            <w:r w:rsidRPr="00BD27D8">
              <w:t>decrease</w:t>
            </w:r>
            <w:r>
              <w:t xml:space="preserve"> in the number of managers of a </w:t>
            </w:r>
            <w:r>
              <w:t xml:space="preserve">domestic </w:t>
            </w:r>
            <w:r>
              <w:t>limited liability company shorten</w:t>
            </w:r>
            <w:r>
              <w:t>ing</w:t>
            </w:r>
            <w:r>
              <w:t xml:space="preserve"> the term of an incumbent manager. </w:t>
            </w:r>
            <w:r>
              <w:t>The</w:t>
            </w:r>
            <w:r>
              <w:t xml:space="preserve"> </w:t>
            </w:r>
            <w:r>
              <w:t xml:space="preserve">bill </w:t>
            </w:r>
            <w:r>
              <w:t>make</w:t>
            </w:r>
            <w:r>
              <w:t>s</w:t>
            </w:r>
            <w:r>
              <w:t xml:space="preserve"> a</w:t>
            </w:r>
            <w:r>
              <w:t xml:space="preserve"> domestic</w:t>
            </w:r>
            <w:r>
              <w:t xml:space="preserve"> limited liability company that refuses to allow a</w:t>
            </w:r>
            <w:r>
              <w:t>n assignee of a</w:t>
            </w:r>
            <w:r>
              <w:t xml:space="preserve"> member</w:t>
            </w:r>
            <w:r>
              <w:t>ship interest</w:t>
            </w:r>
            <w:r>
              <w:t xml:space="preserve"> to examine and copy records or </w:t>
            </w:r>
            <w:r>
              <w:t xml:space="preserve">certain </w:t>
            </w:r>
            <w:r>
              <w:t>other information</w:t>
            </w:r>
            <w:r>
              <w:t xml:space="preserve"> on written request</w:t>
            </w:r>
            <w:r>
              <w:t xml:space="preserve"> liable to the </w:t>
            </w:r>
            <w:r>
              <w:t xml:space="preserve">assignee </w:t>
            </w:r>
            <w:r>
              <w:t xml:space="preserve">for any cost or expense incurred in enforcing the </w:t>
            </w:r>
            <w:r>
              <w:t>assignee's</w:t>
            </w:r>
            <w:r>
              <w:t xml:space="preserve"> </w:t>
            </w:r>
            <w:r>
              <w:t xml:space="preserve">rights </w:t>
            </w:r>
            <w:r>
              <w:t>with regard to that examination</w:t>
            </w:r>
            <w:r>
              <w:t xml:space="preserve">. </w:t>
            </w:r>
            <w:r>
              <w:t>That liability is in addition to any other damages or remedy afforded to the assignee by law.</w:t>
            </w:r>
          </w:p>
          <w:p w:rsidR="00BD27D8" w:rsidRDefault="00F93696" w:rsidP="00041A61">
            <w:pPr>
              <w:pStyle w:val="Header"/>
              <w:tabs>
                <w:tab w:val="clear" w:pos="4320"/>
                <w:tab w:val="clear" w:pos="8640"/>
              </w:tabs>
              <w:jc w:val="both"/>
            </w:pPr>
          </w:p>
          <w:p w:rsidR="00BD27D8" w:rsidRDefault="00F93696" w:rsidP="00041A61">
            <w:pPr>
              <w:pStyle w:val="Header"/>
              <w:jc w:val="both"/>
            </w:pPr>
            <w:r>
              <w:t xml:space="preserve">S.B. 1859 </w:t>
            </w:r>
            <w:r>
              <w:t>grants</w:t>
            </w:r>
            <w:r>
              <w:t xml:space="preserve"> a</w:t>
            </w:r>
            <w:r>
              <w:t>n applicable</w:t>
            </w:r>
            <w:r>
              <w:t xml:space="preserve"> district court </w:t>
            </w:r>
            <w:r w:rsidRPr="003016CD">
              <w:t>jurisdiction to order the winding up and termination of a series</w:t>
            </w:r>
            <w:r>
              <w:t xml:space="preserve"> of a dome</w:t>
            </w:r>
            <w:r>
              <w:t>stic limited liability company, on application by or for a member associated with the series,</w:t>
            </w:r>
            <w:r w:rsidRPr="003016CD">
              <w:t xml:space="preserve"> if the court determines that</w:t>
            </w:r>
            <w:r>
              <w:t xml:space="preserve"> the economic purpose of the series is likely to be unreasonably frustrated or </w:t>
            </w:r>
            <w:r>
              <w:t xml:space="preserve">that </w:t>
            </w:r>
            <w:r>
              <w:t>another member associated with the series has enga</w:t>
            </w:r>
            <w:r>
              <w:t>ged in conduct relating to the series' business that makes it not reasonably practicable to carry on the business with that member.</w:t>
            </w:r>
          </w:p>
          <w:p w:rsidR="003B5DA4" w:rsidRDefault="00F93696" w:rsidP="00041A61">
            <w:pPr>
              <w:pStyle w:val="Header"/>
              <w:jc w:val="both"/>
            </w:pPr>
          </w:p>
          <w:p w:rsidR="003B5DA4" w:rsidRDefault="00F93696" w:rsidP="00041A61">
            <w:pPr>
              <w:pStyle w:val="Header"/>
              <w:jc w:val="both"/>
            </w:pPr>
            <w:r>
              <w:t xml:space="preserve">S.B. 1859 removes the authorization </w:t>
            </w:r>
            <w:r>
              <w:t xml:space="preserve">for </w:t>
            </w:r>
            <w:r>
              <w:t xml:space="preserve">a creditor to proceed against one or more partners of a </w:t>
            </w:r>
            <w:r>
              <w:t xml:space="preserve">general partnership under certain circumstances </w:t>
            </w:r>
            <w:r>
              <w:t>to satisfy a judgment based on a claim against the partnership</w:t>
            </w:r>
            <w:r>
              <w:t>.</w:t>
            </w:r>
            <w:r>
              <w:t xml:space="preserve"> </w:t>
            </w:r>
            <w:r>
              <w:t xml:space="preserve">The bill </w:t>
            </w:r>
            <w:r>
              <w:t>makes revisions to the</w:t>
            </w:r>
            <w:r>
              <w:t xml:space="preserve"> </w:t>
            </w:r>
            <w:r>
              <w:t xml:space="preserve">exception </w:t>
            </w:r>
            <w:r>
              <w:t xml:space="preserve">that </w:t>
            </w:r>
            <w:r>
              <w:t xml:space="preserve">specifies circumstances under which </w:t>
            </w:r>
            <w:r>
              <w:t xml:space="preserve">a creditor </w:t>
            </w:r>
            <w:r>
              <w:t xml:space="preserve">may </w:t>
            </w:r>
            <w:r>
              <w:t>proceed</w:t>
            </w:r>
            <w:r>
              <w:t xml:space="preserve"> </w:t>
            </w:r>
            <w:r>
              <w:t xml:space="preserve">directly </w:t>
            </w:r>
            <w:r>
              <w:t>against the property of one o</w:t>
            </w:r>
            <w:r>
              <w:t>r more partners</w:t>
            </w:r>
            <w:r>
              <w:t xml:space="preserve"> to satisfy such a judgment </w:t>
            </w:r>
            <w:r>
              <w:t>without satisfying certain requisite conditions</w:t>
            </w:r>
            <w:r>
              <w:t>.</w:t>
            </w:r>
          </w:p>
          <w:p w:rsidR="001F0CC8" w:rsidRDefault="00F93696" w:rsidP="00041A61">
            <w:pPr>
              <w:pStyle w:val="Header"/>
              <w:jc w:val="both"/>
            </w:pPr>
          </w:p>
          <w:p w:rsidR="001F0CC8" w:rsidRDefault="00F93696" w:rsidP="00041A61">
            <w:pPr>
              <w:pStyle w:val="Header"/>
              <w:jc w:val="both"/>
            </w:pPr>
            <w:r>
              <w:t xml:space="preserve">S.B. 1859 </w:t>
            </w:r>
            <w:r>
              <w:t xml:space="preserve">replaces provisions providing for the indemnification </w:t>
            </w:r>
            <w:r>
              <w:t xml:space="preserve">of a withdrawn partner </w:t>
            </w:r>
            <w:r>
              <w:t xml:space="preserve">for certain liability </w:t>
            </w:r>
            <w:r>
              <w:t>under a</w:t>
            </w:r>
            <w:r w:rsidRPr="003F3E0E">
              <w:t xml:space="preserve"> </w:t>
            </w:r>
            <w:r w:rsidRPr="003F3E0E">
              <w:t xml:space="preserve">general </w:t>
            </w:r>
            <w:r w:rsidRPr="003F3E0E">
              <w:t>partnership</w:t>
            </w:r>
            <w:r>
              <w:t xml:space="preserve"> with </w:t>
            </w:r>
            <w:r>
              <w:t xml:space="preserve">a </w:t>
            </w:r>
            <w:r>
              <w:t xml:space="preserve">requirement for </w:t>
            </w:r>
            <w:r>
              <w:t>suc</w:t>
            </w:r>
            <w:r>
              <w:t xml:space="preserve">h </w:t>
            </w:r>
            <w:r>
              <w:t>a partnership to indemnify a withdrawn partner whose interest is redeemed against all partnership obligations</w:t>
            </w:r>
            <w:r>
              <w:t>,</w:t>
            </w:r>
            <w:r>
              <w:t xml:space="preserve"> whether incurred before or after the date of withdrawal</w:t>
            </w:r>
            <w:r>
              <w:t>,</w:t>
            </w:r>
            <w:r>
              <w:t xml:space="preserve"> except for an obligation incurred by an act of the withdrawn partner</w:t>
            </w:r>
            <w:r>
              <w:t xml:space="preserve"> under the withdra</w:t>
            </w:r>
            <w:r>
              <w:t>wn partner's power to bind the partnership</w:t>
            </w:r>
            <w:r>
              <w:t>.</w:t>
            </w:r>
          </w:p>
          <w:p w:rsidR="008423E4" w:rsidRPr="00835628" w:rsidRDefault="00F93696" w:rsidP="004B6802">
            <w:pPr>
              <w:rPr>
                <w:b/>
              </w:rPr>
            </w:pPr>
          </w:p>
        </w:tc>
      </w:tr>
      <w:tr w:rsidR="00F73F8F" w:rsidTr="00345119">
        <w:tc>
          <w:tcPr>
            <w:tcW w:w="9576" w:type="dxa"/>
          </w:tcPr>
          <w:p w:rsidR="008423E4" w:rsidRPr="00A8133F" w:rsidRDefault="00F93696" w:rsidP="004B6802">
            <w:pPr>
              <w:rPr>
                <w:b/>
              </w:rPr>
            </w:pPr>
            <w:r w:rsidRPr="009C1E9A">
              <w:rPr>
                <w:b/>
                <w:u w:val="single"/>
              </w:rPr>
              <w:t>EFFECTIVE DATE</w:t>
            </w:r>
            <w:r>
              <w:rPr>
                <w:b/>
              </w:rPr>
              <w:t xml:space="preserve"> </w:t>
            </w:r>
          </w:p>
          <w:p w:rsidR="008423E4" w:rsidRDefault="00F93696" w:rsidP="004B6802"/>
          <w:p w:rsidR="008423E4" w:rsidRPr="003624F2" w:rsidRDefault="00F93696" w:rsidP="00041A61">
            <w:pPr>
              <w:pStyle w:val="Header"/>
              <w:tabs>
                <w:tab w:val="clear" w:pos="4320"/>
                <w:tab w:val="clear" w:pos="8640"/>
              </w:tabs>
              <w:jc w:val="both"/>
            </w:pPr>
            <w:r>
              <w:t>September 1, 2019.</w:t>
            </w:r>
          </w:p>
          <w:p w:rsidR="008423E4" w:rsidRPr="00233FDB" w:rsidRDefault="00F93696" w:rsidP="00041A61">
            <w:pPr>
              <w:rPr>
                <w:b/>
              </w:rPr>
            </w:pPr>
          </w:p>
        </w:tc>
      </w:tr>
    </w:tbl>
    <w:p w:rsidR="008423E4" w:rsidRPr="00BE0E75" w:rsidRDefault="00F93696" w:rsidP="008423E4">
      <w:pPr>
        <w:spacing w:line="480" w:lineRule="auto"/>
        <w:jc w:val="both"/>
        <w:rPr>
          <w:rFonts w:ascii="Arial" w:hAnsi="Arial"/>
          <w:sz w:val="16"/>
          <w:szCs w:val="16"/>
        </w:rPr>
      </w:pPr>
    </w:p>
    <w:p w:rsidR="004108C3" w:rsidRPr="008423E4" w:rsidRDefault="00F9369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3696">
      <w:r>
        <w:separator/>
      </w:r>
    </w:p>
  </w:endnote>
  <w:endnote w:type="continuationSeparator" w:id="0">
    <w:p w:rsidR="00000000" w:rsidRDefault="00F9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3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73F8F" w:rsidTr="009C1E9A">
      <w:trPr>
        <w:cantSplit/>
      </w:trPr>
      <w:tc>
        <w:tcPr>
          <w:tcW w:w="0" w:type="pct"/>
        </w:tcPr>
        <w:p w:rsidR="00137D90" w:rsidRDefault="00F93696" w:rsidP="009C1E9A">
          <w:pPr>
            <w:pStyle w:val="Footer"/>
            <w:tabs>
              <w:tab w:val="clear" w:pos="8640"/>
              <w:tab w:val="right" w:pos="9360"/>
            </w:tabs>
          </w:pPr>
        </w:p>
      </w:tc>
      <w:tc>
        <w:tcPr>
          <w:tcW w:w="2395" w:type="pct"/>
        </w:tcPr>
        <w:p w:rsidR="00137D90" w:rsidRDefault="00F93696" w:rsidP="009C1E9A">
          <w:pPr>
            <w:pStyle w:val="Footer"/>
            <w:tabs>
              <w:tab w:val="clear" w:pos="8640"/>
              <w:tab w:val="right" w:pos="9360"/>
            </w:tabs>
          </w:pPr>
        </w:p>
        <w:p w:rsidR="001A4310" w:rsidRDefault="00F93696" w:rsidP="009C1E9A">
          <w:pPr>
            <w:pStyle w:val="Footer"/>
            <w:tabs>
              <w:tab w:val="clear" w:pos="8640"/>
              <w:tab w:val="right" w:pos="9360"/>
            </w:tabs>
          </w:pPr>
        </w:p>
        <w:p w:rsidR="00137D90" w:rsidRDefault="00F93696" w:rsidP="009C1E9A">
          <w:pPr>
            <w:pStyle w:val="Footer"/>
            <w:tabs>
              <w:tab w:val="clear" w:pos="8640"/>
              <w:tab w:val="right" w:pos="9360"/>
            </w:tabs>
          </w:pPr>
        </w:p>
      </w:tc>
      <w:tc>
        <w:tcPr>
          <w:tcW w:w="2453" w:type="pct"/>
        </w:tcPr>
        <w:p w:rsidR="00137D90" w:rsidRDefault="00F93696" w:rsidP="009C1E9A">
          <w:pPr>
            <w:pStyle w:val="Footer"/>
            <w:tabs>
              <w:tab w:val="clear" w:pos="8640"/>
              <w:tab w:val="right" w:pos="9360"/>
            </w:tabs>
            <w:jc w:val="right"/>
          </w:pPr>
        </w:p>
      </w:tc>
    </w:tr>
    <w:tr w:rsidR="00F73F8F" w:rsidTr="009C1E9A">
      <w:trPr>
        <w:cantSplit/>
      </w:trPr>
      <w:tc>
        <w:tcPr>
          <w:tcW w:w="0" w:type="pct"/>
        </w:tcPr>
        <w:p w:rsidR="00EC379B" w:rsidRDefault="00F93696" w:rsidP="009C1E9A">
          <w:pPr>
            <w:pStyle w:val="Footer"/>
            <w:tabs>
              <w:tab w:val="clear" w:pos="8640"/>
              <w:tab w:val="right" w:pos="9360"/>
            </w:tabs>
          </w:pPr>
        </w:p>
      </w:tc>
      <w:tc>
        <w:tcPr>
          <w:tcW w:w="2395" w:type="pct"/>
        </w:tcPr>
        <w:p w:rsidR="00EC379B" w:rsidRPr="009C1E9A" w:rsidRDefault="00F93696" w:rsidP="009C1E9A">
          <w:pPr>
            <w:pStyle w:val="Footer"/>
            <w:tabs>
              <w:tab w:val="clear" w:pos="8640"/>
              <w:tab w:val="right" w:pos="9360"/>
            </w:tabs>
            <w:rPr>
              <w:rFonts w:ascii="Shruti" w:hAnsi="Shruti"/>
              <w:sz w:val="22"/>
            </w:rPr>
          </w:pPr>
          <w:r>
            <w:rPr>
              <w:rFonts w:ascii="Shruti" w:hAnsi="Shruti"/>
              <w:sz w:val="22"/>
            </w:rPr>
            <w:t>86R 32431</w:t>
          </w:r>
        </w:p>
      </w:tc>
      <w:tc>
        <w:tcPr>
          <w:tcW w:w="2453" w:type="pct"/>
        </w:tcPr>
        <w:p w:rsidR="00EC379B" w:rsidRDefault="00F93696" w:rsidP="009C1E9A">
          <w:pPr>
            <w:pStyle w:val="Footer"/>
            <w:tabs>
              <w:tab w:val="clear" w:pos="8640"/>
              <w:tab w:val="right" w:pos="9360"/>
            </w:tabs>
            <w:jc w:val="right"/>
          </w:pPr>
          <w:r>
            <w:fldChar w:fldCharType="begin"/>
          </w:r>
          <w:r>
            <w:instrText xml:space="preserve"> DOCPROPERTY  OTID  \* MERGEFORMAT </w:instrText>
          </w:r>
          <w:r>
            <w:fldChar w:fldCharType="separate"/>
          </w:r>
          <w:r>
            <w:t>19.127.950</w:t>
          </w:r>
          <w:r>
            <w:fldChar w:fldCharType="end"/>
          </w:r>
        </w:p>
      </w:tc>
    </w:tr>
    <w:tr w:rsidR="00F73F8F" w:rsidTr="009C1E9A">
      <w:trPr>
        <w:cantSplit/>
      </w:trPr>
      <w:tc>
        <w:tcPr>
          <w:tcW w:w="0" w:type="pct"/>
        </w:tcPr>
        <w:p w:rsidR="00EC379B" w:rsidRDefault="00F93696" w:rsidP="009C1E9A">
          <w:pPr>
            <w:pStyle w:val="Footer"/>
            <w:tabs>
              <w:tab w:val="clear" w:pos="4320"/>
              <w:tab w:val="clear" w:pos="8640"/>
              <w:tab w:val="left" w:pos="2865"/>
            </w:tabs>
          </w:pPr>
        </w:p>
      </w:tc>
      <w:tc>
        <w:tcPr>
          <w:tcW w:w="2395" w:type="pct"/>
        </w:tcPr>
        <w:p w:rsidR="00EC379B" w:rsidRPr="009C1E9A" w:rsidRDefault="00F93696" w:rsidP="009C1E9A">
          <w:pPr>
            <w:pStyle w:val="Footer"/>
            <w:tabs>
              <w:tab w:val="clear" w:pos="4320"/>
              <w:tab w:val="clear" w:pos="8640"/>
              <w:tab w:val="left" w:pos="2865"/>
            </w:tabs>
            <w:rPr>
              <w:rFonts w:ascii="Shruti" w:hAnsi="Shruti"/>
              <w:sz w:val="22"/>
            </w:rPr>
          </w:pPr>
        </w:p>
      </w:tc>
      <w:tc>
        <w:tcPr>
          <w:tcW w:w="2453" w:type="pct"/>
        </w:tcPr>
        <w:p w:rsidR="00EC379B" w:rsidRDefault="00F93696" w:rsidP="006D504F">
          <w:pPr>
            <w:pStyle w:val="Footer"/>
            <w:rPr>
              <w:rStyle w:val="PageNumber"/>
            </w:rPr>
          </w:pPr>
        </w:p>
        <w:p w:rsidR="00EC379B" w:rsidRDefault="00F93696" w:rsidP="009C1E9A">
          <w:pPr>
            <w:pStyle w:val="Footer"/>
            <w:tabs>
              <w:tab w:val="clear" w:pos="8640"/>
              <w:tab w:val="right" w:pos="9360"/>
            </w:tabs>
            <w:jc w:val="right"/>
          </w:pPr>
        </w:p>
      </w:tc>
    </w:tr>
    <w:tr w:rsidR="00F73F8F" w:rsidTr="009C1E9A">
      <w:trPr>
        <w:cantSplit/>
        <w:trHeight w:val="323"/>
      </w:trPr>
      <w:tc>
        <w:tcPr>
          <w:tcW w:w="0" w:type="pct"/>
          <w:gridSpan w:val="3"/>
        </w:tcPr>
        <w:p w:rsidR="00EC379B" w:rsidRDefault="00F9369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93696" w:rsidP="009C1E9A">
          <w:pPr>
            <w:pStyle w:val="Footer"/>
            <w:tabs>
              <w:tab w:val="clear" w:pos="8640"/>
              <w:tab w:val="right" w:pos="9360"/>
            </w:tabs>
            <w:jc w:val="center"/>
          </w:pPr>
        </w:p>
      </w:tc>
    </w:tr>
  </w:tbl>
  <w:p w:rsidR="00EC379B" w:rsidRPr="00FF6F72" w:rsidRDefault="00F9369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3696">
      <w:r>
        <w:separator/>
      </w:r>
    </w:p>
  </w:footnote>
  <w:footnote w:type="continuationSeparator" w:id="0">
    <w:p w:rsidR="00000000" w:rsidRDefault="00F9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3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3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1388"/>
    <w:multiLevelType w:val="hybridMultilevel"/>
    <w:tmpl w:val="D53AA522"/>
    <w:lvl w:ilvl="0" w:tplc="8FB4989A">
      <w:start w:val="1"/>
      <w:numFmt w:val="bullet"/>
      <w:lvlText w:val=""/>
      <w:lvlJc w:val="left"/>
      <w:pPr>
        <w:tabs>
          <w:tab w:val="num" w:pos="720"/>
        </w:tabs>
        <w:ind w:left="720" w:hanging="360"/>
      </w:pPr>
      <w:rPr>
        <w:rFonts w:ascii="Symbol" w:hAnsi="Symbol" w:hint="default"/>
      </w:rPr>
    </w:lvl>
    <w:lvl w:ilvl="1" w:tplc="CBE474A8" w:tentative="1">
      <w:start w:val="1"/>
      <w:numFmt w:val="bullet"/>
      <w:lvlText w:val="o"/>
      <w:lvlJc w:val="left"/>
      <w:pPr>
        <w:ind w:left="1440" w:hanging="360"/>
      </w:pPr>
      <w:rPr>
        <w:rFonts w:ascii="Courier New" w:hAnsi="Courier New" w:cs="Courier New" w:hint="default"/>
      </w:rPr>
    </w:lvl>
    <w:lvl w:ilvl="2" w:tplc="D1DC68B4" w:tentative="1">
      <w:start w:val="1"/>
      <w:numFmt w:val="bullet"/>
      <w:lvlText w:val=""/>
      <w:lvlJc w:val="left"/>
      <w:pPr>
        <w:ind w:left="2160" w:hanging="360"/>
      </w:pPr>
      <w:rPr>
        <w:rFonts w:ascii="Wingdings" w:hAnsi="Wingdings" w:hint="default"/>
      </w:rPr>
    </w:lvl>
    <w:lvl w:ilvl="3" w:tplc="38546482" w:tentative="1">
      <w:start w:val="1"/>
      <w:numFmt w:val="bullet"/>
      <w:lvlText w:val=""/>
      <w:lvlJc w:val="left"/>
      <w:pPr>
        <w:ind w:left="2880" w:hanging="360"/>
      </w:pPr>
      <w:rPr>
        <w:rFonts w:ascii="Symbol" w:hAnsi="Symbol" w:hint="default"/>
      </w:rPr>
    </w:lvl>
    <w:lvl w:ilvl="4" w:tplc="533A41A0" w:tentative="1">
      <w:start w:val="1"/>
      <w:numFmt w:val="bullet"/>
      <w:lvlText w:val="o"/>
      <w:lvlJc w:val="left"/>
      <w:pPr>
        <w:ind w:left="3600" w:hanging="360"/>
      </w:pPr>
      <w:rPr>
        <w:rFonts w:ascii="Courier New" w:hAnsi="Courier New" w:cs="Courier New" w:hint="default"/>
      </w:rPr>
    </w:lvl>
    <w:lvl w:ilvl="5" w:tplc="27D46CA8" w:tentative="1">
      <w:start w:val="1"/>
      <w:numFmt w:val="bullet"/>
      <w:lvlText w:val=""/>
      <w:lvlJc w:val="left"/>
      <w:pPr>
        <w:ind w:left="4320" w:hanging="360"/>
      </w:pPr>
      <w:rPr>
        <w:rFonts w:ascii="Wingdings" w:hAnsi="Wingdings" w:hint="default"/>
      </w:rPr>
    </w:lvl>
    <w:lvl w:ilvl="6" w:tplc="EE665A44" w:tentative="1">
      <w:start w:val="1"/>
      <w:numFmt w:val="bullet"/>
      <w:lvlText w:val=""/>
      <w:lvlJc w:val="left"/>
      <w:pPr>
        <w:ind w:left="5040" w:hanging="360"/>
      </w:pPr>
      <w:rPr>
        <w:rFonts w:ascii="Symbol" w:hAnsi="Symbol" w:hint="default"/>
      </w:rPr>
    </w:lvl>
    <w:lvl w:ilvl="7" w:tplc="404C316C" w:tentative="1">
      <w:start w:val="1"/>
      <w:numFmt w:val="bullet"/>
      <w:lvlText w:val="o"/>
      <w:lvlJc w:val="left"/>
      <w:pPr>
        <w:ind w:left="5760" w:hanging="360"/>
      </w:pPr>
      <w:rPr>
        <w:rFonts w:ascii="Courier New" w:hAnsi="Courier New" w:cs="Courier New" w:hint="default"/>
      </w:rPr>
    </w:lvl>
    <w:lvl w:ilvl="8" w:tplc="576C1F5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8F"/>
    <w:rsid w:val="00F73F8F"/>
    <w:rsid w:val="00F9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37E902-162B-4DF3-806D-E24B904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83FCC"/>
    <w:rPr>
      <w:sz w:val="16"/>
      <w:szCs w:val="16"/>
    </w:rPr>
  </w:style>
  <w:style w:type="paragraph" w:styleId="CommentText">
    <w:name w:val="annotation text"/>
    <w:basedOn w:val="Normal"/>
    <w:link w:val="CommentTextChar"/>
    <w:semiHidden/>
    <w:unhideWhenUsed/>
    <w:rsid w:val="00783FCC"/>
    <w:rPr>
      <w:sz w:val="20"/>
      <w:szCs w:val="20"/>
    </w:rPr>
  </w:style>
  <w:style w:type="character" w:customStyle="1" w:styleId="CommentTextChar">
    <w:name w:val="Comment Text Char"/>
    <w:basedOn w:val="DefaultParagraphFont"/>
    <w:link w:val="CommentText"/>
    <w:semiHidden/>
    <w:rsid w:val="00783FCC"/>
  </w:style>
  <w:style w:type="paragraph" w:styleId="CommentSubject">
    <w:name w:val="annotation subject"/>
    <w:basedOn w:val="CommentText"/>
    <w:next w:val="CommentText"/>
    <w:link w:val="CommentSubjectChar"/>
    <w:semiHidden/>
    <w:unhideWhenUsed/>
    <w:rsid w:val="00783FCC"/>
    <w:rPr>
      <w:b/>
      <w:bCs/>
    </w:rPr>
  </w:style>
  <w:style w:type="character" w:customStyle="1" w:styleId="CommentSubjectChar">
    <w:name w:val="Comment Subject Char"/>
    <w:basedOn w:val="CommentTextChar"/>
    <w:link w:val="CommentSubject"/>
    <w:semiHidden/>
    <w:rsid w:val="00783FCC"/>
    <w:rPr>
      <w:b/>
      <w:bCs/>
    </w:rPr>
  </w:style>
  <w:style w:type="paragraph" w:customStyle="1" w:styleId="left">
    <w:name w:val="left"/>
    <w:basedOn w:val="Normal"/>
    <w:rsid w:val="008A14AA"/>
    <w:pPr>
      <w:spacing w:before="100" w:beforeAutospacing="1" w:after="100" w:afterAutospacing="1"/>
    </w:pPr>
  </w:style>
  <w:style w:type="paragraph" w:styleId="HTMLPreformatted">
    <w:name w:val="HTML Preformatted"/>
    <w:basedOn w:val="Normal"/>
    <w:link w:val="HTMLPreformattedChar"/>
    <w:uiPriority w:val="99"/>
    <w:semiHidden/>
    <w:unhideWhenUsed/>
    <w:rsid w:val="008A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14AA"/>
    <w:rPr>
      <w:rFonts w:ascii="Courier New" w:hAnsi="Courier New" w:cs="Courier New"/>
    </w:rPr>
  </w:style>
  <w:style w:type="character" w:styleId="Hyperlink">
    <w:name w:val="Hyperlink"/>
    <w:basedOn w:val="DefaultParagraphFont"/>
    <w:uiPriority w:val="99"/>
    <w:semiHidden/>
    <w:unhideWhenUsed/>
    <w:rsid w:val="008A1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4916</Characters>
  <Application>Microsoft Office Word</Application>
  <DocSecurity>4</DocSecurity>
  <Lines>101</Lines>
  <Paragraphs>26</Paragraphs>
  <ScaleCrop>false</ScaleCrop>
  <HeadingPairs>
    <vt:vector size="2" baseType="variant">
      <vt:variant>
        <vt:lpstr>Title</vt:lpstr>
      </vt:variant>
      <vt:variant>
        <vt:i4>1</vt:i4>
      </vt:variant>
    </vt:vector>
  </HeadingPairs>
  <TitlesOfParts>
    <vt:vector size="1" baseType="lpstr">
      <vt:lpstr>BA - SB01859 (Committee Report (Unamended))</vt:lpstr>
    </vt:vector>
  </TitlesOfParts>
  <Company>State of Texas</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32431</dc:subject>
  <dc:creator>State of Texas</dc:creator>
  <dc:description>SB 1859 by Hancock-(H)Business &amp; Industry</dc:description>
  <cp:lastModifiedBy>Scotty Wimberley</cp:lastModifiedBy>
  <cp:revision>2</cp:revision>
  <cp:lastPrinted>2019-03-15T15:55:00Z</cp:lastPrinted>
  <dcterms:created xsi:type="dcterms:W3CDTF">2019-05-14T22:16:00Z</dcterms:created>
  <dcterms:modified xsi:type="dcterms:W3CDTF">2019-05-14T22:16:00Z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19.127.950</vt:lpwstr>
  </property>
</Properties>
</file>