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635C" w:rsidTr="00345119">
        <w:tc>
          <w:tcPr>
            <w:tcW w:w="9576" w:type="dxa"/>
            <w:noWrap/>
          </w:tcPr>
          <w:p w:rsidR="008423E4" w:rsidRPr="0022177D" w:rsidRDefault="008D08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0858" w:rsidP="008423E4">
      <w:pPr>
        <w:jc w:val="center"/>
      </w:pPr>
    </w:p>
    <w:p w:rsidR="008423E4" w:rsidRPr="00B31F0E" w:rsidRDefault="008D0858" w:rsidP="008423E4"/>
    <w:p w:rsidR="008423E4" w:rsidRPr="00742794" w:rsidRDefault="008D08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635C" w:rsidTr="00345119">
        <w:tc>
          <w:tcPr>
            <w:tcW w:w="9576" w:type="dxa"/>
          </w:tcPr>
          <w:p w:rsidR="008423E4" w:rsidRPr="00861995" w:rsidRDefault="008D0858" w:rsidP="00345119">
            <w:pPr>
              <w:jc w:val="right"/>
            </w:pPr>
            <w:r>
              <w:t>S.B. 1972</w:t>
            </w:r>
          </w:p>
        </w:tc>
      </w:tr>
      <w:tr w:rsidR="00D4635C" w:rsidTr="00345119">
        <w:tc>
          <w:tcPr>
            <w:tcW w:w="9576" w:type="dxa"/>
          </w:tcPr>
          <w:p w:rsidR="008423E4" w:rsidRPr="00861995" w:rsidRDefault="008D0858" w:rsidP="001A3410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D4635C" w:rsidTr="00345119">
        <w:tc>
          <w:tcPr>
            <w:tcW w:w="9576" w:type="dxa"/>
          </w:tcPr>
          <w:p w:rsidR="008423E4" w:rsidRPr="00861995" w:rsidRDefault="008D0858" w:rsidP="00345119">
            <w:pPr>
              <w:jc w:val="right"/>
            </w:pPr>
            <w:r>
              <w:t>Judiciary &amp; Civil Jurisprudence</w:t>
            </w:r>
          </w:p>
        </w:tc>
      </w:tr>
      <w:tr w:rsidR="00D4635C" w:rsidTr="00345119">
        <w:tc>
          <w:tcPr>
            <w:tcW w:w="9576" w:type="dxa"/>
          </w:tcPr>
          <w:p w:rsidR="008423E4" w:rsidRDefault="008D08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0858" w:rsidP="008423E4">
      <w:pPr>
        <w:tabs>
          <w:tab w:val="right" w:pos="9360"/>
        </w:tabs>
      </w:pPr>
    </w:p>
    <w:p w:rsidR="008423E4" w:rsidRDefault="008D0858" w:rsidP="008423E4"/>
    <w:p w:rsidR="008423E4" w:rsidRPr="00EC7B78" w:rsidRDefault="008D0858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635C" w:rsidTr="00345119">
        <w:tc>
          <w:tcPr>
            <w:tcW w:w="9576" w:type="dxa"/>
          </w:tcPr>
          <w:p w:rsidR="008423E4" w:rsidRPr="00A8133F" w:rsidRDefault="008D0858" w:rsidP="00CF59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C7B78" w:rsidRDefault="008D0858" w:rsidP="00CF5972">
            <w:pPr>
              <w:rPr>
                <w:sz w:val="22"/>
              </w:rPr>
            </w:pPr>
          </w:p>
          <w:p w:rsidR="008423E4" w:rsidRDefault="008D0858" w:rsidP="00CF59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A588D">
              <w:t xml:space="preserve">It has been noted that </w:t>
            </w:r>
            <w:r>
              <w:t xml:space="preserve">the Business Organizations Code </w:t>
            </w:r>
            <w:r w:rsidRPr="00EA588D">
              <w:t xml:space="preserve">provisions governing derivative proceedings for limited </w:t>
            </w:r>
            <w:r w:rsidRPr="00EA588D">
              <w:t>partnerships, limited liability companies</w:t>
            </w:r>
            <w:r>
              <w:t>,</w:t>
            </w:r>
            <w:r w:rsidRPr="00EA588D">
              <w:t xml:space="preserve"> and for-profit corporations </w:t>
            </w:r>
            <w:r>
              <w:t>were developed</w:t>
            </w:r>
            <w:r w:rsidRPr="00EA588D">
              <w:t xml:space="preserve"> </w:t>
            </w:r>
            <w:r>
              <w:t>from diverse sources of law, causing the current statute to be less consistent than is desirable</w:t>
            </w:r>
            <w:r w:rsidRPr="00EA588D">
              <w:t>. In particular, provisions governing these proceedings for limited partne</w:t>
            </w:r>
            <w:r w:rsidRPr="00EA588D">
              <w:t>rships differ significantly from those applicable to the other two organizational types</w:t>
            </w:r>
            <w:r>
              <w:t xml:space="preserve">. </w:t>
            </w:r>
            <w:r>
              <w:t>S.B. 1972</w:t>
            </w:r>
            <w:r w:rsidRPr="00EA588D">
              <w:t xml:space="preserve"> seeks to remedy such inconsistencies by revising the applicable statutes.</w:t>
            </w:r>
          </w:p>
          <w:p w:rsidR="008423E4" w:rsidRPr="00E26B13" w:rsidRDefault="008D0858" w:rsidP="00CF5972">
            <w:pPr>
              <w:rPr>
                <w:b/>
              </w:rPr>
            </w:pPr>
          </w:p>
        </w:tc>
      </w:tr>
      <w:tr w:rsidR="00D4635C" w:rsidTr="00345119">
        <w:tc>
          <w:tcPr>
            <w:tcW w:w="9576" w:type="dxa"/>
          </w:tcPr>
          <w:p w:rsidR="0017725B" w:rsidRDefault="008D0858" w:rsidP="00CF59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C7B78" w:rsidRDefault="008D0858" w:rsidP="00CF5972">
            <w:pPr>
              <w:rPr>
                <w:b/>
                <w:sz w:val="22"/>
                <w:u w:val="single"/>
              </w:rPr>
            </w:pPr>
          </w:p>
          <w:p w:rsidR="00C759C9" w:rsidRPr="00C759C9" w:rsidRDefault="008D0858" w:rsidP="00CF5972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D0858" w:rsidP="00CF5972">
            <w:pPr>
              <w:rPr>
                <w:b/>
                <w:u w:val="single"/>
              </w:rPr>
            </w:pPr>
          </w:p>
        </w:tc>
      </w:tr>
      <w:tr w:rsidR="00D4635C" w:rsidTr="00345119">
        <w:tc>
          <w:tcPr>
            <w:tcW w:w="9576" w:type="dxa"/>
          </w:tcPr>
          <w:p w:rsidR="008423E4" w:rsidRPr="00A8133F" w:rsidRDefault="008D0858" w:rsidP="00CF59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C7B78" w:rsidRDefault="008D0858" w:rsidP="00CF5972">
            <w:pPr>
              <w:rPr>
                <w:sz w:val="22"/>
              </w:rPr>
            </w:pPr>
          </w:p>
          <w:p w:rsidR="00C759C9" w:rsidRDefault="008D0858" w:rsidP="00CF59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D0858" w:rsidP="00CF5972">
            <w:pPr>
              <w:rPr>
                <w:b/>
              </w:rPr>
            </w:pPr>
          </w:p>
        </w:tc>
      </w:tr>
      <w:tr w:rsidR="00D4635C" w:rsidTr="00345119">
        <w:tc>
          <w:tcPr>
            <w:tcW w:w="9576" w:type="dxa"/>
          </w:tcPr>
          <w:p w:rsidR="008423E4" w:rsidRPr="00A8133F" w:rsidRDefault="008D0858" w:rsidP="00CF59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C7B78" w:rsidRDefault="008D0858" w:rsidP="00CF5972">
            <w:pPr>
              <w:rPr>
                <w:sz w:val="22"/>
              </w:rPr>
            </w:pPr>
          </w:p>
          <w:p w:rsidR="00EA588D" w:rsidRDefault="008D0858" w:rsidP="00CF5972">
            <w:pPr>
              <w:pStyle w:val="Header"/>
              <w:jc w:val="both"/>
            </w:pPr>
            <w:r w:rsidRPr="000E4994">
              <w:t>S.B. 1972</w:t>
            </w:r>
            <w:r>
              <w:t xml:space="preserve"> amends the Business Organizations Code to revise and </w:t>
            </w:r>
            <w:r>
              <w:t>harmonize</w:t>
            </w:r>
            <w:r>
              <w:t xml:space="preserve"> provisions relating to derivative proceedings involving a for-profit corporation, a limited liability company, and a limited partnership.</w:t>
            </w:r>
          </w:p>
          <w:p w:rsidR="00EA588D" w:rsidRPr="00EC7B78" w:rsidRDefault="008D0858" w:rsidP="00CF5972">
            <w:pPr>
              <w:pStyle w:val="Header"/>
              <w:jc w:val="both"/>
              <w:rPr>
                <w:sz w:val="22"/>
              </w:rPr>
            </w:pPr>
          </w:p>
          <w:p w:rsidR="00EA588D" w:rsidRDefault="008D0858" w:rsidP="00CF5972">
            <w:pPr>
              <w:pStyle w:val="Header"/>
              <w:jc w:val="both"/>
            </w:pPr>
            <w:r w:rsidRPr="000E4994">
              <w:t>S.B. 1972</w:t>
            </w:r>
            <w:r>
              <w:t>, with regard to a for-profit corporation, revises provisions relating to the following: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applicable def</w:t>
            </w:r>
            <w:r>
              <w:t>inition of "shareholder</w:t>
            </w:r>
            <w:r>
              <w:t>"</w:t>
            </w:r>
            <w:r>
              <w:t>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 shareholder's standing to institute or maintain a derivative proceeding</w:t>
            </w:r>
            <w:r>
              <w:t xml:space="preserve"> if</w:t>
            </w:r>
            <w:r>
              <w:t xml:space="preserve"> a </w:t>
            </w:r>
            <w:r w:rsidRPr="0042396C">
              <w:t>corporation</w:t>
            </w:r>
            <w:r>
              <w:t xml:space="preserve"> is the </w:t>
            </w:r>
            <w:r>
              <w:t>converted</w:t>
            </w:r>
            <w:r>
              <w:t xml:space="preserve"> entity in a conversion and the proceeding is based on an act or omission that occurred with respect to the converting enti</w:t>
            </w:r>
            <w:r>
              <w:t>ty before the date of the conversion;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termination under certain circumstances of a required waiting period between the filing of a written demand with the corporation and the institution of a derivative proceeding;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 determination made by independent a</w:t>
            </w:r>
            <w:r>
              <w:t xml:space="preserve">nd disinterested directors, by a committee of such directors, or by a court-appointed panel of </w:t>
            </w:r>
            <w:r>
              <w:t xml:space="preserve">independent and </w:t>
            </w:r>
            <w:r>
              <w:t>disinterested individuals of how to proceed on applicable allegations;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 court's stay of a proceeding while the specified person or group of pers</w:t>
            </w:r>
            <w:r>
              <w:t xml:space="preserve">ons conducts in good faith on behalf of the corporation an active review of the allegations, and procedures for </w:t>
            </w:r>
            <w:r>
              <w:t>continuing</w:t>
            </w:r>
            <w:r>
              <w:t xml:space="preserve"> the stay;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scope of discovery by a shareholder after the corporation moves to dismiss the proceeding based on the outcome of such </w:t>
            </w:r>
            <w:r>
              <w:t>an active review;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conditions under which a court is required to grant such a motion to dismiss by the corporation; 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period for which the filing of the initial written demand tolls the statute of limitations;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an award of reasonable expenses incurred by </w:t>
            </w:r>
            <w:r>
              <w:t>a party;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extent to which statutory provisions relating to derivative proceedings apply to a foreign corporation;</w:t>
            </w:r>
            <w:r>
              <w:t xml:space="preserve"> and</w:t>
            </w:r>
          </w:p>
          <w:p w:rsidR="00EA588D" w:rsidRDefault="008D0858" w:rsidP="00284532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an exemption from the bill's provisions relating to the conduct of derivative proceedings for a </w:t>
            </w:r>
            <w:r w:rsidRPr="00AC6BDC">
              <w:t xml:space="preserve">claim or a derivative proceeding by a shareholder of a </w:t>
            </w:r>
            <w:r w:rsidRPr="00FF4B82">
              <w:t>closely</w:t>
            </w:r>
            <w:r w:rsidRPr="00AC6BDC">
              <w:t xml:space="preserve"> held corporation against a director, officer, or shareholder of th</w:t>
            </w:r>
            <w:r>
              <w:t xml:space="preserve">at </w:t>
            </w:r>
            <w:r w:rsidRPr="00AC6BDC">
              <w:t>corporation</w:t>
            </w:r>
            <w:r>
              <w:t>, and the extent to which such a claim or proceeding may be treated as a direct action by the shareholder against</w:t>
            </w:r>
            <w:r>
              <w:t xml:space="preserve"> the applicable person.</w:t>
            </w:r>
          </w:p>
          <w:p w:rsidR="00EA588D" w:rsidRDefault="008D0858" w:rsidP="00CF5972">
            <w:pPr>
              <w:pStyle w:val="Header"/>
              <w:jc w:val="both"/>
            </w:pPr>
          </w:p>
          <w:p w:rsidR="00EA588D" w:rsidRDefault="008D0858" w:rsidP="00CF5972">
            <w:pPr>
              <w:pStyle w:val="Header"/>
              <w:jc w:val="both"/>
            </w:pPr>
            <w:r w:rsidRPr="000E4994">
              <w:t>S.B. 1972</w:t>
            </w:r>
            <w:r>
              <w:t>, with regard to a limited liability company, revises provisions relating to the following: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the applicable definitions of "managing entity" and "member</w:t>
            </w:r>
            <w:r>
              <w:t>"</w:t>
            </w:r>
            <w:r>
              <w:t>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the standing</w:t>
            </w:r>
            <w:r>
              <w:t xml:space="preserve"> of a member to institute or maintain a derivative proceeding, defined by reference as a civil suit in the right of the company, if a limited liability company is the </w:t>
            </w:r>
            <w:r>
              <w:t>converted</w:t>
            </w:r>
            <w:r>
              <w:t xml:space="preserve"> entity in a conversion and the proceeding is based on an act or omission that o</w:t>
            </w:r>
            <w:r>
              <w:t>ccurred with respect to the converting entity before the date of the conversion;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the termination under certain circumstances of a required waiting period between the filing of a written demand with the </w:t>
            </w:r>
            <w:r>
              <w:t xml:space="preserve">limited liability </w:t>
            </w:r>
            <w:r>
              <w:t>company and the institution of a der</w:t>
            </w:r>
            <w:r>
              <w:t>ivative proceeding;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a determination made by the independent and disinterested governing persons of the </w:t>
            </w:r>
            <w:r>
              <w:t xml:space="preserve">limited liability </w:t>
            </w:r>
            <w:r>
              <w:t>company, by a committee of such governing persons, or by a court</w:t>
            </w:r>
            <w:r>
              <w:noBreakHyphen/>
            </w:r>
            <w:r>
              <w:t xml:space="preserve">appointed panel of </w:t>
            </w:r>
            <w:r>
              <w:t xml:space="preserve">independent and </w:t>
            </w:r>
            <w:r>
              <w:t>disinterested individuals of how to</w:t>
            </w:r>
            <w:r>
              <w:t xml:space="preserve"> proceed on applicable allegations, including conditions determining whether a managing entity of the company or an entity that is directly or indirectly a governing person of that managing entity is an independent and disinterested entity for this purpose</w:t>
            </w:r>
            <w:r>
              <w:t>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a court's stay of a proceeding while the specified person or group of persons conducts in good faith on behalf of the </w:t>
            </w:r>
            <w:r>
              <w:t xml:space="preserve">limited liability </w:t>
            </w:r>
            <w:r>
              <w:t xml:space="preserve">company an active review of the </w:t>
            </w:r>
            <w:r>
              <w:t>allegations, and</w:t>
            </w:r>
            <w:r>
              <w:t xml:space="preserve"> procedures for </w:t>
            </w:r>
            <w:r>
              <w:t>continuing</w:t>
            </w:r>
            <w:r>
              <w:t xml:space="preserve"> the stay;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the scope of discovery by a membe</w:t>
            </w:r>
            <w:r>
              <w:t xml:space="preserve">r after the </w:t>
            </w:r>
            <w:r>
              <w:t xml:space="preserve">limited liability </w:t>
            </w:r>
            <w:r>
              <w:t>company moves to dismiss the proceeding based on the outcome of such an active review;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conditions under which a court is required to grant such a motion to dismiss by the </w:t>
            </w:r>
            <w:r>
              <w:t xml:space="preserve">limited liability </w:t>
            </w:r>
            <w:r>
              <w:t xml:space="preserve">company; 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the period for which the fi</w:t>
            </w:r>
            <w:r>
              <w:t>ling of the initial written demand tolls the statute of limitations;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an award of reasonable expenses incurred by a party;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the extent to which statutory provisions relating to derivative proceedings apply to a foreign limited liability company; and</w:t>
            </w:r>
          </w:p>
          <w:p w:rsidR="00EA588D" w:rsidRDefault="008D0858" w:rsidP="00284532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an exemp</w:t>
            </w:r>
            <w:r>
              <w:t xml:space="preserve">tion from the bill's provisions relating to the conduct of derivative proceedings for a </w:t>
            </w:r>
            <w:r w:rsidRPr="00AC6BDC">
              <w:t xml:space="preserve">claim or a derivative proceeding by a </w:t>
            </w:r>
            <w:r>
              <w:t>member</w:t>
            </w:r>
            <w:r w:rsidRPr="00AC6BDC">
              <w:t xml:space="preserve"> of a </w:t>
            </w:r>
            <w:r w:rsidRPr="00FF4B82">
              <w:t>closely</w:t>
            </w:r>
            <w:r w:rsidRPr="00AC6BDC">
              <w:t xml:space="preserve"> held </w:t>
            </w:r>
            <w:r>
              <w:t>limited liability company</w:t>
            </w:r>
            <w:r w:rsidRPr="00AC6BDC">
              <w:t xml:space="preserve"> against a </w:t>
            </w:r>
            <w:r>
              <w:t>governing person</w:t>
            </w:r>
            <w:r w:rsidRPr="00AC6BDC">
              <w:t xml:space="preserve">, </w:t>
            </w:r>
            <w:r>
              <w:t>member</w:t>
            </w:r>
            <w:r w:rsidRPr="00AC6BDC">
              <w:t xml:space="preserve">, or </w:t>
            </w:r>
            <w:r>
              <w:t>officer</w:t>
            </w:r>
            <w:r w:rsidRPr="00AC6BDC">
              <w:t xml:space="preserve"> of th</w:t>
            </w:r>
            <w:r>
              <w:t xml:space="preserve">at company, and the extent </w:t>
            </w:r>
            <w:r>
              <w:t>to which such a claim or proceeding may be treated as a direct action by the member against the applicable person.</w:t>
            </w:r>
          </w:p>
          <w:p w:rsidR="00B301F1" w:rsidRDefault="008D0858" w:rsidP="00CF5972">
            <w:pPr>
              <w:pStyle w:val="Header"/>
              <w:jc w:val="both"/>
            </w:pPr>
          </w:p>
          <w:p w:rsidR="00EA588D" w:rsidRDefault="008D0858" w:rsidP="00CF5972">
            <w:pPr>
              <w:pStyle w:val="Header"/>
              <w:jc w:val="both"/>
            </w:pPr>
            <w:r w:rsidRPr="000E4994">
              <w:t>S.B. 1972</w:t>
            </w:r>
            <w:r>
              <w:t>, with regard to a limited partnership, revises and replaces applicable provisions as follows:</w:t>
            </w:r>
          </w:p>
          <w:p w:rsidR="00EA588D" w:rsidRDefault="008D0858" w:rsidP="0028453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establishes applicable definitions </w:t>
            </w:r>
            <w:r>
              <w:t>of "derivative proceeding" and "limited partner</w:t>
            </w:r>
            <w:r>
              <w:t>"</w:t>
            </w:r>
            <w:r>
              <w:t>;</w:t>
            </w:r>
          </w:p>
          <w:p w:rsidR="00EA588D" w:rsidRDefault="008D0858" w:rsidP="0028453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removes provisions relating to a limited partner's right to bring a derivative action and sets out provisions relating instead to a limited partner's standing to institute or maintain a derivative proceedin</w:t>
            </w:r>
            <w:r>
              <w:t>g;</w:t>
            </w:r>
          </w:p>
          <w:p w:rsidR="00F74847" w:rsidRDefault="008D0858" w:rsidP="0028453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removes a provision prescribing the content of a complaint; and </w:t>
            </w:r>
          </w:p>
          <w:p w:rsidR="00EA588D" w:rsidRDefault="008D0858" w:rsidP="0028453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sets out provisions relating to a required waiting period between the filing of a written demand with the limited partnership and the institution of a derivative proceeding</w:t>
            </w:r>
            <w:r>
              <w:t>.</w:t>
            </w:r>
          </w:p>
          <w:p w:rsidR="00EA588D" w:rsidRDefault="008D0858" w:rsidP="00CF5972">
            <w:pPr>
              <w:pStyle w:val="Header"/>
              <w:spacing w:before="120" w:after="120"/>
              <w:jc w:val="both"/>
            </w:pPr>
            <w:r>
              <w:t>The bill remov</w:t>
            </w:r>
            <w:r>
              <w:t xml:space="preserve">es provisions relating to a court's authority to require the plaintiff to give security for the reasonable expenses of a defendant and to </w:t>
            </w:r>
            <w:r>
              <w:t xml:space="preserve">the </w:t>
            </w:r>
            <w:r>
              <w:t xml:space="preserve">award </w:t>
            </w:r>
            <w:r>
              <w:t xml:space="preserve">of </w:t>
            </w:r>
            <w:r>
              <w:t xml:space="preserve">such expenses. The bill sets out provisions relating to the following:  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determination made by the inde</w:t>
            </w:r>
            <w:r>
              <w:t xml:space="preserve">pendent and disinterested general partners, by a committee of such general partners, or by a court-appointed panel of independent and disinterested individuals of how to proceed on applicable allegations, including </w:t>
            </w:r>
            <w:r w:rsidRPr="00D2599F">
              <w:t xml:space="preserve">conditions determining whether </w:t>
            </w:r>
            <w:r>
              <w:t xml:space="preserve">an entity </w:t>
            </w:r>
            <w:r>
              <w:t>that is a general partner</w:t>
            </w:r>
            <w:r w:rsidRPr="00D2599F">
              <w:t xml:space="preserve"> or is directly or indirectly a governing person of </w:t>
            </w:r>
            <w:r>
              <w:t>that general partner</w:t>
            </w:r>
            <w:r w:rsidRPr="00D2599F">
              <w:t xml:space="preserve"> is an independent and disinterested entity for this purpose</w:t>
            </w:r>
            <w:r>
              <w:t>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 court's stay of a proceeding while the specified person or group of persons conducts in good fa</w:t>
            </w:r>
            <w:r>
              <w:t xml:space="preserve">ith on behalf of the limited partnership an active review of the allegations, and procedures for </w:t>
            </w:r>
            <w:r>
              <w:t>continuing</w:t>
            </w:r>
            <w:r>
              <w:t xml:space="preserve"> the stay;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scope of discovery by a limited partner after the limited partnership moves to dismiss the proceeding based on the outcome of such an </w:t>
            </w:r>
            <w:r>
              <w:t>active review;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conditions under which a court is required to grant such a motion to dismiss by the limited partnership; 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period for which the filing of the initial written demand for action tolls the statute of limitations;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requirements for the nature </w:t>
            </w:r>
            <w:r>
              <w:t>of allegations in a petition to institute a proceeding after a written demand is rejected;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dismissal, discontinuance, or settlement of the proceeding;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awards of expenses incurred by a party;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extent to which statutory provisions relating to derivative p</w:t>
            </w:r>
            <w:r>
              <w:t>roceedings apply to a foreign limited partnership;</w:t>
            </w:r>
            <w:r>
              <w:t xml:space="preserve"> and</w:t>
            </w:r>
          </w:p>
          <w:p w:rsidR="00EA588D" w:rsidRDefault="008D0858" w:rsidP="0028453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an exemption from the bill's provisions relating to the conduct of derivative proceedings for a </w:t>
            </w:r>
            <w:r w:rsidRPr="00AC6BDC">
              <w:t xml:space="preserve">claim or a derivative proceeding by a </w:t>
            </w:r>
            <w:r>
              <w:t>limited partner</w:t>
            </w:r>
            <w:r w:rsidRPr="00AC6BDC">
              <w:t xml:space="preserve"> of a </w:t>
            </w:r>
            <w:r w:rsidRPr="00FF4B82">
              <w:t>closely</w:t>
            </w:r>
            <w:r w:rsidRPr="00AC6BDC">
              <w:t xml:space="preserve"> held </w:t>
            </w:r>
            <w:r>
              <w:t>limited partnership</w:t>
            </w:r>
            <w:r w:rsidRPr="00AC6BDC">
              <w:t xml:space="preserve"> against a </w:t>
            </w:r>
            <w:r>
              <w:t>gen</w:t>
            </w:r>
            <w:r>
              <w:t>eral partner</w:t>
            </w:r>
            <w:r w:rsidRPr="00AC6BDC">
              <w:t xml:space="preserve">, </w:t>
            </w:r>
            <w:r>
              <w:t>limited partner</w:t>
            </w:r>
            <w:r w:rsidRPr="00AC6BDC">
              <w:t xml:space="preserve">, or </w:t>
            </w:r>
            <w:r>
              <w:t>officer</w:t>
            </w:r>
            <w:r w:rsidRPr="00AC6BDC">
              <w:t xml:space="preserve"> of th</w:t>
            </w:r>
            <w:r>
              <w:t>at limited partnership, and the extent to which such a claim or proceeding may be treated as a direct action by the limited partner against the applicable person.</w:t>
            </w:r>
          </w:p>
          <w:p w:rsidR="006750A7" w:rsidRPr="00835628" w:rsidRDefault="008D0858" w:rsidP="00CF5972">
            <w:pPr>
              <w:pStyle w:val="Header"/>
              <w:jc w:val="both"/>
              <w:rPr>
                <w:b/>
              </w:rPr>
            </w:pPr>
          </w:p>
        </w:tc>
      </w:tr>
      <w:tr w:rsidR="00D4635C" w:rsidTr="00345119">
        <w:tc>
          <w:tcPr>
            <w:tcW w:w="9576" w:type="dxa"/>
          </w:tcPr>
          <w:p w:rsidR="008423E4" w:rsidRPr="00A8133F" w:rsidRDefault="008D0858" w:rsidP="00CF59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0858" w:rsidP="00CF5972"/>
          <w:p w:rsidR="008423E4" w:rsidRPr="003624F2" w:rsidRDefault="008D0858" w:rsidP="00CF59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D0858" w:rsidP="00CF5972">
            <w:pPr>
              <w:rPr>
                <w:b/>
              </w:rPr>
            </w:pPr>
          </w:p>
        </w:tc>
      </w:tr>
      <w:tr w:rsidR="00D4635C" w:rsidTr="00345119">
        <w:tc>
          <w:tcPr>
            <w:tcW w:w="9576" w:type="dxa"/>
          </w:tcPr>
          <w:p w:rsidR="00D64C75" w:rsidRPr="00D64C75" w:rsidRDefault="008D0858" w:rsidP="00CF5972">
            <w:pPr>
              <w:jc w:val="both"/>
            </w:pPr>
          </w:p>
        </w:tc>
      </w:tr>
    </w:tbl>
    <w:p w:rsidR="004108C3" w:rsidRPr="008423E4" w:rsidRDefault="008D08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0858">
      <w:r>
        <w:separator/>
      </w:r>
    </w:p>
  </w:endnote>
  <w:endnote w:type="continuationSeparator" w:id="0">
    <w:p w:rsidR="00000000" w:rsidRDefault="008D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635C" w:rsidTr="009C1E9A">
      <w:trPr>
        <w:cantSplit/>
      </w:trPr>
      <w:tc>
        <w:tcPr>
          <w:tcW w:w="0" w:type="pct"/>
        </w:tcPr>
        <w:p w:rsidR="00137D90" w:rsidRDefault="008D08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08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08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08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08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635C" w:rsidTr="009C1E9A">
      <w:trPr>
        <w:cantSplit/>
      </w:trPr>
      <w:tc>
        <w:tcPr>
          <w:tcW w:w="0" w:type="pct"/>
        </w:tcPr>
        <w:p w:rsidR="00EC379B" w:rsidRDefault="008D08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08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33471</w:t>
          </w:r>
        </w:p>
      </w:tc>
      <w:tc>
        <w:tcPr>
          <w:tcW w:w="2453" w:type="pct"/>
        </w:tcPr>
        <w:p w:rsidR="00EC379B" w:rsidRDefault="008D08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19.130.789</w:t>
          </w:r>
          <w:r>
            <w:fldChar w:fldCharType="end"/>
          </w:r>
        </w:p>
      </w:tc>
    </w:tr>
    <w:tr w:rsidR="00D4635C" w:rsidTr="009C1E9A">
      <w:trPr>
        <w:cantSplit/>
      </w:trPr>
      <w:tc>
        <w:tcPr>
          <w:tcW w:w="0" w:type="pct"/>
        </w:tcPr>
        <w:p w:rsidR="00EC379B" w:rsidRDefault="008D08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08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0858" w:rsidP="006D504F">
          <w:pPr>
            <w:pStyle w:val="Footer"/>
            <w:rPr>
              <w:rStyle w:val="PageNumber"/>
            </w:rPr>
          </w:pPr>
        </w:p>
        <w:p w:rsidR="00EC379B" w:rsidRDefault="008D08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63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08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8D08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08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0858">
      <w:r>
        <w:separator/>
      </w:r>
    </w:p>
  </w:footnote>
  <w:footnote w:type="continuationSeparator" w:id="0">
    <w:p w:rsidR="00000000" w:rsidRDefault="008D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85"/>
    <w:multiLevelType w:val="hybridMultilevel"/>
    <w:tmpl w:val="DBD039E2"/>
    <w:lvl w:ilvl="0" w:tplc="8C226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EC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8C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6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A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81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D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0A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9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F32"/>
    <w:multiLevelType w:val="hybridMultilevel"/>
    <w:tmpl w:val="E522DC72"/>
    <w:lvl w:ilvl="0" w:tplc="12804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3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4B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A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C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6C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2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C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6B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6CB7"/>
    <w:multiLevelType w:val="hybridMultilevel"/>
    <w:tmpl w:val="CBA27A2E"/>
    <w:lvl w:ilvl="0" w:tplc="765AF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5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02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B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D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26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0A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AA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3D6C"/>
    <w:multiLevelType w:val="hybridMultilevel"/>
    <w:tmpl w:val="1C486C5A"/>
    <w:lvl w:ilvl="0" w:tplc="32CC2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6E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CF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C0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3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08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2F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42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8E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F58F7"/>
    <w:multiLevelType w:val="hybridMultilevel"/>
    <w:tmpl w:val="6506165E"/>
    <w:lvl w:ilvl="0" w:tplc="8162F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E0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AC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CE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40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8F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5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3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C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815A5"/>
    <w:multiLevelType w:val="hybridMultilevel"/>
    <w:tmpl w:val="2D5A5166"/>
    <w:lvl w:ilvl="0" w:tplc="ADF63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D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CD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84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A9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0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A6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2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C"/>
    <w:rsid w:val="008D0858"/>
    <w:rsid w:val="00D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2C04A-098C-4706-A2CF-0F4552AB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3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96C"/>
    <w:rPr>
      <w:b/>
      <w:bCs/>
    </w:rPr>
  </w:style>
  <w:style w:type="paragraph" w:styleId="Revision">
    <w:name w:val="Revision"/>
    <w:hidden/>
    <w:uiPriority w:val="99"/>
    <w:semiHidden/>
    <w:rsid w:val="00556B34"/>
    <w:rPr>
      <w:sz w:val="24"/>
      <w:szCs w:val="24"/>
    </w:rPr>
  </w:style>
  <w:style w:type="character" w:styleId="Hyperlink">
    <w:name w:val="Hyperlink"/>
    <w:basedOn w:val="DefaultParagraphFont"/>
    <w:unhideWhenUsed/>
    <w:rsid w:val="0005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7029</Characters>
  <Application>Microsoft Office Word</Application>
  <DocSecurity>4</DocSecurity>
  <Lines>142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SB01972 (Committee Report (Unamended))</vt:lpstr>
    </vt:vector>
  </TitlesOfParts>
  <Company>State of Texas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33471</dc:subject>
  <dc:creator>State of Texas</dc:creator>
  <dc:description>SB 1972 by Hancock-(H)Judiciary &amp; Civil Jurisprudence</dc:description>
  <cp:lastModifiedBy>Laura Ramsay</cp:lastModifiedBy>
  <cp:revision>2</cp:revision>
  <cp:lastPrinted>2019-04-06T13:56:00Z</cp:lastPrinted>
  <dcterms:created xsi:type="dcterms:W3CDTF">2019-05-14T18:52:00Z</dcterms:created>
  <dcterms:modified xsi:type="dcterms:W3CDTF">2019-05-14T18:52:00Z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19.130.789</vt:lpwstr>
  </property>
</Properties>
</file>