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04C9F" w:rsidTr="00345119">
        <w:tc>
          <w:tcPr>
            <w:tcW w:w="9576" w:type="dxa"/>
            <w:noWrap/>
          </w:tcPr>
          <w:p w:rsidR="008423E4" w:rsidRPr="0022177D" w:rsidRDefault="00D01156" w:rsidP="006A471D">
            <w:pPr>
              <w:pStyle w:val="Heading1"/>
            </w:pPr>
            <w:bookmarkStart w:id="0" w:name="_GoBack"/>
            <w:bookmarkEnd w:id="0"/>
            <w:r w:rsidRPr="00631897">
              <w:t>BILL ANALYSIS</w:t>
            </w:r>
          </w:p>
        </w:tc>
      </w:tr>
    </w:tbl>
    <w:p w:rsidR="008423E4" w:rsidRPr="0022177D" w:rsidRDefault="00D01156" w:rsidP="00A85B69">
      <w:pPr>
        <w:jc w:val="both"/>
      </w:pPr>
    </w:p>
    <w:p w:rsidR="008423E4" w:rsidRPr="00B31F0E" w:rsidRDefault="00D01156" w:rsidP="00A85B69">
      <w:pPr>
        <w:jc w:val="both"/>
      </w:pPr>
    </w:p>
    <w:p w:rsidR="008423E4" w:rsidRPr="00742794" w:rsidRDefault="00D01156" w:rsidP="00A85B69">
      <w:pPr>
        <w:tabs>
          <w:tab w:val="right" w:pos="9360"/>
        </w:tabs>
        <w:jc w:val="both"/>
      </w:pPr>
    </w:p>
    <w:tbl>
      <w:tblPr>
        <w:tblW w:w="0" w:type="auto"/>
        <w:tblLayout w:type="fixed"/>
        <w:tblLook w:val="01E0" w:firstRow="1" w:lastRow="1" w:firstColumn="1" w:lastColumn="1" w:noHBand="0" w:noVBand="0"/>
      </w:tblPr>
      <w:tblGrid>
        <w:gridCol w:w="9576"/>
      </w:tblGrid>
      <w:tr w:rsidR="00304C9F" w:rsidTr="00345119">
        <w:tc>
          <w:tcPr>
            <w:tcW w:w="9576" w:type="dxa"/>
          </w:tcPr>
          <w:p w:rsidR="008423E4" w:rsidRPr="00861995" w:rsidRDefault="00D01156" w:rsidP="006A471D">
            <w:pPr>
              <w:jc w:val="right"/>
            </w:pPr>
            <w:r>
              <w:t>C.S.S.B. 2119</w:t>
            </w:r>
          </w:p>
        </w:tc>
      </w:tr>
      <w:tr w:rsidR="00304C9F" w:rsidTr="00345119">
        <w:tc>
          <w:tcPr>
            <w:tcW w:w="9576" w:type="dxa"/>
          </w:tcPr>
          <w:p w:rsidR="008423E4" w:rsidRPr="00861995" w:rsidRDefault="00D01156" w:rsidP="00AC6278">
            <w:pPr>
              <w:jc w:val="right"/>
            </w:pPr>
            <w:r>
              <w:t xml:space="preserve">By: </w:t>
            </w:r>
            <w:r>
              <w:t>Alvarado</w:t>
            </w:r>
          </w:p>
        </w:tc>
      </w:tr>
      <w:tr w:rsidR="00304C9F" w:rsidTr="00345119">
        <w:tc>
          <w:tcPr>
            <w:tcW w:w="9576" w:type="dxa"/>
          </w:tcPr>
          <w:p w:rsidR="008423E4" w:rsidRPr="00861995" w:rsidRDefault="00D01156" w:rsidP="006A471D">
            <w:pPr>
              <w:jc w:val="right"/>
            </w:pPr>
            <w:r>
              <w:t>International Relations &amp; Economic Development</w:t>
            </w:r>
          </w:p>
        </w:tc>
      </w:tr>
      <w:tr w:rsidR="00304C9F" w:rsidTr="00345119">
        <w:tc>
          <w:tcPr>
            <w:tcW w:w="9576" w:type="dxa"/>
          </w:tcPr>
          <w:p w:rsidR="008423E4" w:rsidRDefault="00D01156" w:rsidP="006A471D">
            <w:pPr>
              <w:jc w:val="right"/>
            </w:pPr>
            <w:r>
              <w:t>Committee Report (Substituted)</w:t>
            </w:r>
          </w:p>
        </w:tc>
      </w:tr>
    </w:tbl>
    <w:p w:rsidR="008423E4" w:rsidRDefault="00D01156" w:rsidP="00A85B69">
      <w:pPr>
        <w:tabs>
          <w:tab w:val="right" w:pos="9360"/>
        </w:tabs>
        <w:jc w:val="both"/>
      </w:pPr>
    </w:p>
    <w:p w:rsidR="008423E4" w:rsidRDefault="00D01156" w:rsidP="00A85B69">
      <w:pPr>
        <w:jc w:val="both"/>
      </w:pPr>
    </w:p>
    <w:p w:rsidR="008423E4" w:rsidRDefault="00D01156" w:rsidP="00A85B69">
      <w:pPr>
        <w:jc w:val="both"/>
      </w:pPr>
    </w:p>
    <w:tbl>
      <w:tblPr>
        <w:tblW w:w="0" w:type="auto"/>
        <w:tblCellMar>
          <w:left w:w="115" w:type="dxa"/>
          <w:right w:w="115" w:type="dxa"/>
        </w:tblCellMar>
        <w:tblLook w:val="01E0" w:firstRow="1" w:lastRow="1" w:firstColumn="1" w:lastColumn="1" w:noHBand="0" w:noVBand="0"/>
      </w:tblPr>
      <w:tblGrid>
        <w:gridCol w:w="9576"/>
      </w:tblGrid>
      <w:tr w:rsidR="00304C9F" w:rsidTr="00345119">
        <w:tc>
          <w:tcPr>
            <w:tcW w:w="9576" w:type="dxa"/>
          </w:tcPr>
          <w:p w:rsidR="008423E4" w:rsidRPr="00A8133F" w:rsidRDefault="00D01156" w:rsidP="00657658">
            <w:pPr>
              <w:jc w:val="both"/>
              <w:rPr>
                <w:b/>
              </w:rPr>
            </w:pPr>
            <w:r w:rsidRPr="009C1E9A">
              <w:rPr>
                <w:b/>
                <w:u w:val="single"/>
              </w:rPr>
              <w:t>BACKGROUND AND PURPOSE</w:t>
            </w:r>
            <w:r>
              <w:rPr>
                <w:b/>
              </w:rPr>
              <w:t xml:space="preserve"> </w:t>
            </w:r>
          </w:p>
          <w:p w:rsidR="008423E4" w:rsidRDefault="00D01156" w:rsidP="00657658">
            <w:pPr>
              <w:jc w:val="both"/>
            </w:pPr>
          </w:p>
          <w:p w:rsidR="008423E4" w:rsidRDefault="00D01156" w:rsidP="00657658">
            <w:pPr>
              <w:pStyle w:val="Header"/>
              <w:tabs>
                <w:tab w:val="clear" w:pos="4320"/>
                <w:tab w:val="clear" w:pos="8640"/>
              </w:tabs>
              <w:jc w:val="both"/>
            </w:pPr>
            <w:r w:rsidRPr="006A471D">
              <w:t xml:space="preserve">It has been suggested that transferring from the Department of Agriculture to the Texas Department </w:t>
            </w:r>
            <w:r w:rsidRPr="006A471D">
              <w:t>of Licensing and Regulation the oversight and regulation of motor fuel metering and motor fuel quality would be beneficial. C.S.S.B. 2119 seeks to provide for the transfer of such regulation.</w:t>
            </w:r>
          </w:p>
          <w:p w:rsidR="008423E4" w:rsidRPr="00E26B13" w:rsidRDefault="00D01156" w:rsidP="00657658">
            <w:pPr>
              <w:jc w:val="both"/>
              <w:rPr>
                <w:b/>
              </w:rPr>
            </w:pPr>
          </w:p>
        </w:tc>
      </w:tr>
      <w:tr w:rsidR="00304C9F" w:rsidTr="00345119">
        <w:tc>
          <w:tcPr>
            <w:tcW w:w="9576" w:type="dxa"/>
          </w:tcPr>
          <w:p w:rsidR="0017725B" w:rsidRDefault="00D01156" w:rsidP="00657658">
            <w:pPr>
              <w:jc w:val="both"/>
              <w:rPr>
                <w:b/>
                <w:u w:val="single"/>
              </w:rPr>
            </w:pPr>
            <w:r>
              <w:rPr>
                <w:b/>
                <w:u w:val="single"/>
              </w:rPr>
              <w:t>CRIMINAL JUSTICE IMPACT</w:t>
            </w:r>
          </w:p>
          <w:p w:rsidR="0017725B" w:rsidRDefault="00D01156" w:rsidP="00657658">
            <w:pPr>
              <w:jc w:val="both"/>
              <w:rPr>
                <w:b/>
                <w:u w:val="single"/>
              </w:rPr>
            </w:pPr>
          </w:p>
          <w:p w:rsidR="0017725B" w:rsidRPr="0017725B" w:rsidRDefault="00D01156" w:rsidP="00657658">
            <w:pPr>
              <w:jc w:val="both"/>
            </w:pPr>
            <w:r w:rsidRPr="00D50DB1">
              <w:t>It is the committee's opinion that th</w:t>
            </w:r>
            <w:r w:rsidRPr="00D50DB1">
              <w:t>is bill expressly does one or more of the following: creates a criminal offense, increases the punishment for an existing criminal offense or category of offenses, or changes the eligibility of a person for community supervision, parole, or mandatory super</w:t>
            </w:r>
            <w:r w:rsidRPr="00D50DB1">
              <w:t>vision.</w:t>
            </w:r>
          </w:p>
          <w:p w:rsidR="0017725B" w:rsidRPr="0017725B" w:rsidRDefault="00D01156" w:rsidP="00657658">
            <w:pPr>
              <w:jc w:val="both"/>
              <w:rPr>
                <w:b/>
                <w:u w:val="single"/>
              </w:rPr>
            </w:pPr>
          </w:p>
        </w:tc>
      </w:tr>
      <w:tr w:rsidR="00304C9F" w:rsidTr="00345119">
        <w:tc>
          <w:tcPr>
            <w:tcW w:w="9576" w:type="dxa"/>
          </w:tcPr>
          <w:p w:rsidR="008423E4" w:rsidRPr="00A8133F" w:rsidRDefault="00D01156" w:rsidP="00657658">
            <w:pPr>
              <w:jc w:val="both"/>
              <w:rPr>
                <w:b/>
              </w:rPr>
            </w:pPr>
            <w:r w:rsidRPr="009C1E9A">
              <w:rPr>
                <w:b/>
                <w:u w:val="single"/>
              </w:rPr>
              <w:t>RULEMAKING AUTHORITY</w:t>
            </w:r>
            <w:r>
              <w:rPr>
                <w:b/>
              </w:rPr>
              <w:t xml:space="preserve"> </w:t>
            </w:r>
          </w:p>
          <w:p w:rsidR="008423E4" w:rsidRDefault="00D01156" w:rsidP="00657658">
            <w:pPr>
              <w:jc w:val="both"/>
            </w:pPr>
          </w:p>
          <w:p w:rsidR="008423E4" w:rsidRDefault="00D01156" w:rsidP="00657658">
            <w:pPr>
              <w:pStyle w:val="Header"/>
              <w:tabs>
                <w:tab w:val="clear" w:pos="4320"/>
                <w:tab w:val="clear" w:pos="8640"/>
              </w:tabs>
              <w:jc w:val="both"/>
            </w:pPr>
            <w:r w:rsidRPr="00D50DB1">
              <w:t>It is the committee's opinion that rulemaking authority is expressly granted to the Texas Commission of Licensing and Regulation in SECTION</w:t>
            </w:r>
            <w:r>
              <w:t>S</w:t>
            </w:r>
            <w:r w:rsidRPr="00D50DB1">
              <w:t xml:space="preserve"> 1</w:t>
            </w:r>
            <w:r>
              <w:t xml:space="preserve"> and 2</w:t>
            </w:r>
            <w:r w:rsidRPr="00D50DB1">
              <w:t xml:space="preserve"> of this bill.</w:t>
            </w:r>
          </w:p>
          <w:p w:rsidR="008423E4" w:rsidRPr="00E21FDC" w:rsidRDefault="00D01156" w:rsidP="00657658">
            <w:pPr>
              <w:jc w:val="both"/>
              <w:rPr>
                <w:b/>
              </w:rPr>
            </w:pPr>
          </w:p>
        </w:tc>
      </w:tr>
      <w:tr w:rsidR="00304C9F" w:rsidTr="00345119">
        <w:tc>
          <w:tcPr>
            <w:tcW w:w="9576" w:type="dxa"/>
          </w:tcPr>
          <w:p w:rsidR="008423E4" w:rsidRPr="00A8133F" w:rsidRDefault="00D01156" w:rsidP="00657658">
            <w:pPr>
              <w:jc w:val="both"/>
              <w:rPr>
                <w:b/>
              </w:rPr>
            </w:pPr>
            <w:r w:rsidRPr="009C1E9A">
              <w:rPr>
                <w:b/>
                <w:u w:val="single"/>
              </w:rPr>
              <w:t>ANALYSIS</w:t>
            </w:r>
            <w:r>
              <w:rPr>
                <w:b/>
              </w:rPr>
              <w:t xml:space="preserve"> </w:t>
            </w:r>
          </w:p>
          <w:p w:rsidR="008423E4" w:rsidRDefault="00D01156" w:rsidP="00657658">
            <w:pPr>
              <w:jc w:val="both"/>
            </w:pPr>
          </w:p>
          <w:p w:rsidR="00D50DB1" w:rsidRPr="00D50DB1" w:rsidRDefault="00D01156" w:rsidP="00657658">
            <w:pPr>
              <w:pStyle w:val="Header"/>
              <w:tabs>
                <w:tab w:val="clear" w:pos="4320"/>
                <w:tab w:val="clear" w:pos="8640"/>
              </w:tabs>
              <w:jc w:val="both"/>
            </w:pPr>
            <w:r>
              <w:t>C.S.S.B. 2119</w:t>
            </w:r>
            <w:r w:rsidRPr="00D50DB1">
              <w:t xml:space="preserve"> transfers to the Occupations Code the Agriculture Code provisions relating to the regulation of motor fuel metering and motor fuel quality and makes the Texas Department of Licensing and Regulation (TDLR), instead of the Department of Agriculture (TDA), r</w:t>
            </w:r>
            <w:r w:rsidRPr="00D50DB1">
              <w:t>esponsible for such regulation. The bill repeals certain Agriculture Code provisions relating to a motor fuel metering device, the standard for liquid capacity for purposes of the retail sale of motor fuel, and the sale and regulation of certain fuel mixtu</w:t>
            </w:r>
            <w:r w:rsidRPr="00D50DB1">
              <w:t xml:space="preserve">res. </w:t>
            </w:r>
          </w:p>
          <w:p w:rsidR="00D50DB1" w:rsidRPr="00D50DB1" w:rsidRDefault="00D01156" w:rsidP="00657658">
            <w:pPr>
              <w:pStyle w:val="Header"/>
              <w:tabs>
                <w:tab w:val="clear" w:pos="4320"/>
                <w:tab w:val="clear" w:pos="8640"/>
              </w:tabs>
              <w:jc w:val="both"/>
            </w:pPr>
          </w:p>
          <w:p w:rsidR="00D50DB1" w:rsidRPr="00D50DB1" w:rsidRDefault="00D01156" w:rsidP="00657658">
            <w:pPr>
              <w:pStyle w:val="Header"/>
              <w:tabs>
                <w:tab w:val="clear" w:pos="4320"/>
                <w:tab w:val="clear" w:pos="8640"/>
              </w:tabs>
              <w:jc w:val="both"/>
            </w:pPr>
            <w:r>
              <w:t>C.S.S.B. 2119</w:t>
            </w:r>
            <w:r>
              <w:t>, effective September 1, 2019,</w:t>
            </w:r>
            <w:r w:rsidRPr="00D50DB1">
              <w:t xml:space="preserve"> provides for the bill's transfer of such regulation from the TDA to TDLR by:</w:t>
            </w:r>
          </w:p>
          <w:p w:rsidR="00D50DB1" w:rsidRPr="00D50DB1" w:rsidRDefault="00D01156" w:rsidP="00657658">
            <w:pPr>
              <w:pStyle w:val="Header"/>
              <w:numPr>
                <w:ilvl w:val="0"/>
                <w:numId w:val="3"/>
              </w:numPr>
              <w:tabs>
                <w:tab w:val="clear" w:pos="4320"/>
                <w:tab w:val="clear" w:pos="8640"/>
              </w:tabs>
              <w:spacing w:before="120" w:after="120"/>
              <w:jc w:val="both"/>
            </w:pPr>
            <w:r w:rsidRPr="00D50DB1">
              <w:t>establishing that all rules</w:t>
            </w:r>
            <w:r w:rsidRPr="00D50DB1">
              <w:t>, fees, policies, procedures, decisions, and forms of the commissioner of agriculture or the TDA that relate to a program or activity transferred under the bill's provisions and that are in effect on the transfer's effective date remain in effect until cha</w:t>
            </w:r>
            <w:r w:rsidRPr="00D50DB1">
              <w:t>nged by the Texas Commission of Licensing and Regulation (TCLR)</w:t>
            </w:r>
            <w:r>
              <w:t xml:space="preserve"> or TDLR, as appropriate</w:t>
            </w:r>
            <w:r w:rsidRPr="00D50DB1">
              <w:t>;</w:t>
            </w:r>
          </w:p>
          <w:p w:rsidR="00D50DB1" w:rsidRPr="00D50DB1" w:rsidRDefault="00D01156" w:rsidP="00657658">
            <w:pPr>
              <w:pStyle w:val="Header"/>
              <w:numPr>
                <w:ilvl w:val="0"/>
                <w:numId w:val="4"/>
              </w:numPr>
              <w:tabs>
                <w:tab w:val="clear" w:pos="4320"/>
                <w:tab w:val="clear" w:pos="8640"/>
              </w:tabs>
              <w:spacing w:before="120" w:after="120"/>
              <w:jc w:val="both"/>
            </w:pPr>
            <w:r w:rsidRPr="00D50DB1">
              <w:t>providing for certain other specified transfers to TCLR or TDLR, as applicable; and</w:t>
            </w:r>
          </w:p>
          <w:p w:rsidR="00D50DB1" w:rsidRPr="00D50DB1" w:rsidRDefault="00D01156" w:rsidP="005A4BD3">
            <w:pPr>
              <w:pStyle w:val="Header"/>
              <w:numPr>
                <w:ilvl w:val="0"/>
                <w:numId w:val="5"/>
              </w:numPr>
              <w:tabs>
                <w:tab w:val="clear" w:pos="4320"/>
                <w:tab w:val="clear" w:pos="8640"/>
              </w:tabs>
              <w:jc w:val="both"/>
            </w:pPr>
            <w:r w:rsidRPr="00D50DB1">
              <w:t>establishing that</w:t>
            </w:r>
            <w:r>
              <w:t>, on or after the effective date of the transfer,</w:t>
            </w:r>
            <w:r w:rsidRPr="00D50DB1">
              <w:t xml:space="preserve"> a reference in a</w:t>
            </w:r>
            <w:r w:rsidRPr="00D50DB1">
              <w:t xml:space="preserve"> law or administrative rule to the commissioner of agriculture or the TDA with respect to a program or activity transferred under the bill's provisions means TCLR or TDLR, as appropriate. </w:t>
            </w:r>
          </w:p>
          <w:p w:rsidR="00D50DB1" w:rsidRPr="005A4BD3" w:rsidRDefault="00D01156" w:rsidP="00657658">
            <w:pPr>
              <w:pStyle w:val="Header"/>
              <w:tabs>
                <w:tab w:val="clear" w:pos="4320"/>
                <w:tab w:val="clear" w:pos="8640"/>
              </w:tabs>
              <w:jc w:val="both"/>
              <w:rPr>
                <w:sz w:val="22"/>
              </w:rPr>
            </w:pPr>
          </w:p>
          <w:p w:rsidR="00D50DB1" w:rsidRPr="00D50DB1" w:rsidRDefault="00D01156" w:rsidP="00657658">
            <w:pPr>
              <w:pStyle w:val="Header"/>
              <w:tabs>
                <w:tab w:val="clear" w:pos="4320"/>
                <w:tab w:val="clear" w:pos="8640"/>
              </w:tabs>
              <w:jc w:val="both"/>
            </w:pPr>
            <w:r>
              <w:t>C.S.S.B. 2119</w:t>
            </w:r>
            <w:r w:rsidRPr="00D50DB1">
              <w:t>, effective September 1, 2019, with respect to the tr</w:t>
            </w:r>
            <w:r w:rsidRPr="00D50DB1">
              <w:t xml:space="preserve">ansfer: </w:t>
            </w:r>
          </w:p>
          <w:p w:rsidR="00D50DB1" w:rsidRPr="00D50DB1" w:rsidRDefault="00D01156" w:rsidP="00657658">
            <w:pPr>
              <w:pStyle w:val="Header"/>
              <w:numPr>
                <w:ilvl w:val="0"/>
                <w:numId w:val="2"/>
              </w:numPr>
              <w:tabs>
                <w:tab w:val="clear" w:pos="4320"/>
                <w:tab w:val="clear" w:pos="8640"/>
              </w:tabs>
              <w:spacing w:before="120" w:after="120"/>
              <w:jc w:val="both"/>
            </w:pPr>
            <w:r w:rsidRPr="00D50DB1">
              <w:t>requires the TDA and TDLR to adopt a transition plan to provide for the orderly transfer of powers, duties, functions, programs, and activities under the bill's provisions and requires the transition plan to provide for the transfer to be complete</w:t>
            </w:r>
            <w:r w:rsidRPr="00D50DB1">
              <w:t>d not later than September 1, 2020;</w:t>
            </w:r>
          </w:p>
          <w:p w:rsidR="00D50DB1" w:rsidRPr="00D50DB1" w:rsidRDefault="00D01156" w:rsidP="00657658">
            <w:pPr>
              <w:pStyle w:val="Header"/>
              <w:numPr>
                <w:ilvl w:val="0"/>
                <w:numId w:val="2"/>
              </w:numPr>
              <w:tabs>
                <w:tab w:val="clear" w:pos="4320"/>
                <w:tab w:val="clear" w:pos="8640"/>
              </w:tabs>
              <w:spacing w:before="120" w:after="120"/>
              <w:jc w:val="both"/>
            </w:pPr>
            <w:r w:rsidRPr="00D50DB1">
              <w:t>requires the TDA to provide TDLR with access to any systems, facilities, or information necessary for TDLR to accept a program or activity transferred under the bill's provisions;</w:t>
            </w:r>
          </w:p>
          <w:p w:rsidR="00D50DB1" w:rsidRPr="00D50DB1" w:rsidRDefault="00D01156" w:rsidP="00657658">
            <w:pPr>
              <w:pStyle w:val="Header"/>
              <w:numPr>
                <w:ilvl w:val="0"/>
                <w:numId w:val="2"/>
              </w:numPr>
              <w:tabs>
                <w:tab w:val="clear" w:pos="4320"/>
                <w:tab w:val="clear" w:pos="8640"/>
              </w:tabs>
              <w:spacing w:before="120" w:after="120"/>
              <w:jc w:val="both"/>
            </w:pPr>
            <w:r w:rsidRPr="00D50DB1">
              <w:t>includes a temporary provision set to expire October 1, 2020, authorizing TDLR to establish and lead a stakeholder workgroup to provide input, advice, and recommendations to the TDA and TDLR on the orderly transfer of powers, duties, functions, programs, a</w:t>
            </w:r>
            <w:r w:rsidRPr="00D50DB1">
              <w:t>nd activities under the bill's provisions and requiring TDLR to establish the size, composition, and scope of the stakeholder workgroup;</w:t>
            </w:r>
          </w:p>
          <w:p w:rsidR="00D50DB1" w:rsidRPr="00D50DB1" w:rsidRDefault="00D01156" w:rsidP="00657658">
            <w:pPr>
              <w:pStyle w:val="Header"/>
              <w:numPr>
                <w:ilvl w:val="0"/>
                <w:numId w:val="2"/>
              </w:numPr>
              <w:tabs>
                <w:tab w:val="clear" w:pos="4320"/>
                <w:tab w:val="clear" w:pos="8640"/>
              </w:tabs>
              <w:spacing w:before="120" w:after="120"/>
              <w:jc w:val="both"/>
            </w:pPr>
            <w:r w:rsidRPr="00D50DB1">
              <w:t>establishes that, on the date specified in the transition plan for the transfer of a program or activity transferred by</w:t>
            </w:r>
            <w:r w:rsidRPr="00D50DB1">
              <w:t xml:space="preserve"> the bill's provisions to TDLR, all full-time equivalent employee positions at the TDA that directly and indirectly concern the administration or enforcement of the program or activity being transferred become positions at TDLR; and</w:t>
            </w:r>
          </w:p>
          <w:p w:rsidR="00D50DB1" w:rsidRPr="00D50DB1" w:rsidRDefault="00D01156" w:rsidP="00657658">
            <w:pPr>
              <w:pStyle w:val="Header"/>
              <w:numPr>
                <w:ilvl w:val="0"/>
                <w:numId w:val="2"/>
              </w:numPr>
              <w:tabs>
                <w:tab w:val="clear" w:pos="4320"/>
                <w:tab w:val="clear" w:pos="8640"/>
              </w:tabs>
              <w:spacing w:before="120"/>
              <w:jc w:val="both"/>
            </w:pPr>
            <w:r w:rsidRPr="00D50DB1">
              <w:t>requires TDLR to post t</w:t>
            </w:r>
            <w:r w:rsidRPr="00D50DB1">
              <w:t>he positions for hiring and, when filling the positions, to give consideration to an applicant who was an employee at the TDA immediately before the date of the transfer involved in administering or enforcing the transferred program or activity but establi</w:t>
            </w:r>
            <w:r w:rsidRPr="00D50DB1">
              <w:t>shes that TDLR is not required to hire those employees.</w:t>
            </w:r>
          </w:p>
          <w:p w:rsidR="00D50DB1" w:rsidRPr="00D50DB1" w:rsidRDefault="00D01156" w:rsidP="00657658">
            <w:pPr>
              <w:pStyle w:val="Header"/>
              <w:tabs>
                <w:tab w:val="clear" w:pos="4320"/>
                <w:tab w:val="clear" w:pos="8640"/>
              </w:tabs>
              <w:jc w:val="both"/>
            </w:pPr>
          </w:p>
          <w:p w:rsidR="00D50DB1" w:rsidRPr="00D50DB1" w:rsidRDefault="00D01156" w:rsidP="00657658">
            <w:pPr>
              <w:pStyle w:val="Header"/>
              <w:tabs>
                <w:tab w:val="clear" w:pos="4320"/>
                <w:tab w:val="clear" w:pos="8640"/>
              </w:tabs>
              <w:jc w:val="both"/>
            </w:pPr>
            <w:r>
              <w:t>C.S.S.B. 2119</w:t>
            </w:r>
            <w:r w:rsidRPr="00D50DB1">
              <w:t xml:space="preserve"> amends the Occupations Code to require TDLR to </w:t>
            </w:r>
            <w:r>
              <w:t xml:space="preserve">administer and </w:t>
            </w:r>
            <w:r w:rsidRPr="00D50DB1">
              <w:t xml:space="preserve">enforce the bill's provisions and to </w:t>
            </w:r>
            <w:r>
              <w:t xml:space="preserve">regulate </w:t>
            </w:r>
            <w:r w:rsidRPr="00D50DB1">
              <w:t>all motor fuel metering devices sold or offered for sale in Texas. The bill s</w:t>
            </w:r>
            <w:r w:rsidRPr="00D50DB1">
              <w:t>ets out the TCLR rulemaking authority applicable to such supervision.</w:t>
            </w:r>
          </w:p>
          <w:p w:rsidR="00D50DB1" w:rsidRPr="00657658" w:rsidRDefault="00D01156" w:rsidP="00657658">
            <w:pPr>
              <w:pStyle w:val="Header"/>
              <w:tabs>
                <w:tab w:val="clear" w:pos="4320"/>
                <w:tab w:val="clear" w:pos="8640"/>
              </w:tabs>
              <w:jc w:val="both"/>
              <w:rPr>
                <w:sz w:val="22"/>
              </w:rPr>
            </w:pPr>
          </w:p>
          <w:p w:rsidR="00D50DB1" w:rsidRPr="00D50DB1" w:rsidRDefault="00D01156" w:rsidP="00657658">
            <w:pPr>
              <w:pStyle w:val="Header"/>
              <w:tabs>
                <w:tab w:val="clear" w:pos="4320"/>
                <w:tab w:val="clear" w:pos="8640"/>
              </w:tabs>
              <w:jc w:val="both"/>
            </w:pPr>
            <w:r>
              <w:t>C.S.S.B. 2119</w:t>
            </w:r>
            <w:r w:rsidRPr="00D50DB1">
              <w:t xml:space="preserve"> authorizes TDLR to purchase apparatus as necessary for the administration of the bill's provisions and establishes that the bill's provisions control to the extent the bil</w:t>
            </w:r>
            <w:r w:rsidRPr="00D50DB1">
              <w:t xml:space="preserve">l's provisions conflict with Agriculture Code provisions relating to weights and measures with regard to motor fuel metering devices. </w:t>
            </w:r>
          </w:p>
          <w:p w:rsidR="00D50DB1" w:rsidRPr="00657658" w:rsidRDefault="00D01156" w:rsidP="00657658">
            <w:pPr>
              <w:pStyle w:val="Header"/>
              <w:tabs>
                <w:tab w:val="clear" w:pos="4320"/>
                <w:tab w:val="clear" w:pos="8640"/>
              </w:tabs>
              <w:jc w:val="both"/>
              <w:rPr>
                <w:sz w:val="20"/>
              </w:rPr>
            </w:pPr>
          </w:p>
          <w:p w:rsidR="00033518" w:rsidRPr="00D50DB1" w:rsidRDefault="00D01156" w:rsidP="00ED4DD4">
            <w:pPr>
              <w:pStyle w:val="Header"/>
              <w:jc w:val="both"/>
            </w:pPr>
            <w:r>
              <w:t>C.S.S.B. 2119</w:t>
            </w:r>
            <w:r w:rsidRPr="00D50DB1">
              <w:t xml:space="preserve"> authorizes TDLR to contract with one or more holders of a service technician license or service company li</w:t>
            </w:r>
            <w:r w:rsidRPr="00D50DB1">
              <w:t>cense to perform TDLR's duties under the bill's provisions related to motor fuel metering devices. The bill includes provisions relating to a civil penalty and injunction, standard weights and measures for motor fuel, inspection and registration of motor f</w:t>
            </w:r>
            <w:r w:rsidRPr="00D50DB1">
              <w:t xml:space="preserve">uel metering devices, and the sale, delivery, and quality of motor fuel. </w:t>
            </w:r>
            <w:r>
              <w:t>The bill sets out related licensing provisions, requires TDLR to conduct a criminal background check on each applicant for a service company license and on any controlling person of t</w:t>
            </w:r>
            <w:r>
              <w:t xml:space="preserve">he applicant, and provides for a one or two year license for </w:t>
            </w:r>
            <w:r w:rsidRPr="00D50DB1">
              <w:t>motor fuel metering device service technicians and motor fuel metering device service companies</w:t>
            </w:r>
            <w:r>
              <w:t>.</w:t>
            </w:r>
            <w:r>
              <w:t xml:space="preserve"> The bill </w:t>
            </w:r>
            <w:r>
              <w:t xml:space="preserve">sets out provisions relating to the purchase of additional sets of standards </w:t>
            </w:r>
            <w:r>
              <w:t>used to perf</w:t>
            </w:r>
            <w:r>
              <w:t xml:space="preserve">orm device maintenance activities </w:t>
            </w:r>
            <w:r>
              <w:t>by the state metrology laboratory, the inspection and correction of certain standards for motor fuel by the laboratory, and a memorandum of understanding between TDLR and the laboratory relating to access provided to TDA p</w:t>
            </w:r>
            <w:r>
              <w:t>ersonnel and licensed service technicians and service companies.</w:t>
            </w:r>
          </w:p>
          <w:p w:rsidR="00D50DB1" w:rsidRPr="00657658" w:rsidRDefault="00D01156" w:rsidP="00657658">
            <w:pPr>
              <w:pStyle w:val="Header"/>
              <w:tabs>
                <w:tab w:val="clear" w:pos="4320"/>
                <w:tab w:val="clear" w:pos="8640"/>
              </w:tabs>
              <w:jc w:val="both"/>
              <w:rPr>
                <w:sz w:val="20"/>
              </w:rPr>
            </w:pPr>
          </w:p>
          <w:p w:rsidR="00D50DB1" w:rsidRPr="00D50DB1" w:rsidRDefault="00D01156" w:rsidP="00657658">
            <w:pPr>
              <w:pStyle w:val="Header"/>
              <w:tabs>
                <w:tab w:val="clear" w:pos="4320"/>
                <w:tab w:val="clear" w:pos="8640"/>
              </w:tabs>
              <w:jc w:val="both"/>
            </w:pPr>
            <w:r>
              <w:t>C.S.S.B. 2119</w:t>
            </w:r>
            <w:r w:rsidRPr="00D50DB1">
              <w:t xml:space="preserve"> amends the Agriculture Code and the Tax Code to make conforming changes.</w:t>
            </w:r>
          </w:p>
          <w:p w:rsidR="00D50DB1" w:rsidRPr="00657658" w:rsidRDefault="00D01156" w:rsidP="00657658">
            <w:pPr>
              <w:pStyle w:val="Header"/>
              <w:tabs>
                <w:tab w:val="clear" w:pos="4320"/>
                <w:tab w:val="clear" w:pos="8640"/>
              </w:tabs>
              <w:jc w:val="both"/>
              <w:rPr>
                <w:sz w:val="20"/>
              </w:rPr>
            </w:pPr>
          </w:p>
          <w:p w:rsidR="00D50DB1" w:rsidRPr="00D50DB1" w:rsidRDefault="00D01156" w:rsidP="00657658">
            <w:pPr>
              <w:pStyle w:val="Header"/>
              <w:tabs>
                <w:tab w:val="clear" w:pos="4320"/>
                <w:tab w:val="clear" w:pos="8640"/>
              </w:tabs>
              <w:jc w:val="both"/>
            </w:pPr>
            <w:r>
              <w:t>C.S.S.B. 2119</w:t>
            </w:r>
            <w:r w:rsidRPr="00D50DB1">
              <w:t xml:space="preserve"> repeals the following provisions of the Agriculture Code:</w:t>
            </w:r>
          </w:p>
          <w:p w:rsidR="00D50DB1" w:rsidRPr="00D50DB1" w:rsidRDefault="00D01156" w:rsidP="00657658">
            <w:pPr>
              <w:pStyle w:val="Header"/>
              <w:numPr>
                <w:ilvl w:val="0"/>
                <w:numId w:val="1"/>
              </w:numPr>
              <w:tabs>
                <w:tab w:val="clear" w:pos="4320"/>
                <w:tab w:val="clear" w:pos="8640"/>
              </w:tabs>
              <w:spacing w:before="120" w:after="120"/>
              <w:jc w:val="both"/>
            </w:pPr>
            <w:r w:rsidRPr="00D50DB1">
              <w:t>Section 13.001(a)(1-a)</w:t>
            </w:r>
          </w:p>
          <w:p w:rsidR="00D50DB1" w:rsidRPr="00D50DB1" w:rsidRDefault="00D01156" w:rsidP="00657658">
            <w:pPr>
              <w:pStyle w:val="Header"/>
              <w:numPr>
                <w:ilvl w:val="0"/>
                <w:numId w:val="1"/>
              </w:numPr>
              <w:tabs>
                <w:tab w:val="clear" w:pos="4320"/>
                <w:tab w:val="clear" w:pos="8640"/>
              </w:tabs>
              <w:spacing w:before="120" w:after="120"/>
              <w:jc w:val="both"/>
            </w:pPr>
            <w:r w:rsidRPr="00D50DB1">
              <w:t>Section</w:t>
            </w:r>
            <w:r w:rsidRPr="00D50DB1">
              <w:t xml:space="preserve"> 13.024(d)</w:t>
            </w:r>
          </w:p>
          <w:p w:rsidR="00D50DB1" w:rsidRPr="00D50DB1" w:rsidRDefault="00D01156" w:rsidP="00657658">
            <w:pPr>
              <w:pStyle w:val="Header"/>
              <w:numPr>
                <w:ilvl w:val="0"/>
                <w:numId w:val="1"/>
              </w:numPr>
              <w:tabs>
                <w:tab w:val="clear" w:pos="4320"/>
                <w:tab w:val="clear" w:pos="8640"/>
              </w:tabs>
              <w:spacing w:before="120" w:after="120"/>
              <w:jc w:val="both"/>
            </w:pPr>
            <w:r w:rsidRPr="00D50DB1">
              <w:t>Section 13.029(b)</w:t>
            </w:r>
          </w:p>
          <w:p w:rsidR="00D50DB1" w:rsidRPr="00D50DB1" w:rsidRDefault="00D01156" w:rsidP="00657658">
            <w:pPr>
              <w:pStyle w:val="Header"/>
              <w:numPr>
                <w:ilvl w:val="0"/>
                <w:numId w:val="1"/>
              </w:numPr>
              <w:tabs>
                <w:tab w:val="clear" w:pos="4320"/>
                <w:tab w:val="clear" w:pos="8640"/>
              </w:tabs>
              <w:spacing w:before="120" w:after="120"/>
              <w:jc w:val="both"/>
            </w:pPr>
            <w:r w:rsidRPr="00D50DB1">
              <w:t>Section 13.101(e)</w:t>
            </w:r>
          </w:p>
          <w:p w:rsidR="00D50DB1" w:rsidRDefault="00D01156" w:rsidP="00657658">
            <w:pPr>
              <w:pStyle w:val="Header"/>
              <w:numPr>
                <w:ilvl w:val="0"/>
                <w:numId w:val="1"/>
              </w:numPr>
              <w:tabs>
                <w:tab w:val="clear" w:pos="4320"/>
                <w:tab w:val="clear" w:pos="8640"/>
              </w:tabs>
              <w:spacing w:before="120" w:after="120"/>
              <w:jc w:val="both"/>
            </w:pPr>
            <w:r w:rsidRPr="00D50DB1">
              <w:t>Section 13.1011(e)</w:t>
            </w:r>
          </w:p>
          <w:p w:rsidR="00A85B69" w:rsidRPr="00D50DB1" w:rsidRDefault="00D01156" w:rsidP="00657658">
            <w:pPr>
              <w:pStyle w:val="Header"/>
              <w:numPr>
                <w:ilvl w:val="0"/>
                <w:numId w:val="1"/>
              </w:numPr>
              <w:tabs>
                <w:tab w:val="clear" w:pos="4320"/>
                <w:tab w:val="clear" w:pos="8640"/>
              </w:tabs>
              <w:spacing w:before="120" w:after="120"/>
              <w:jc w:val="both"/>
            </w:pPr>
            <w:r>
              <w:t>Section 13.1017</w:t>
            </w:r>
          </w:p>
          <w:p w:rsidR="00D50DB1" w:rsidRDefault="00D01156" w:rsidP="00657658">
            <w:pPr>
              <w:pStyle w:val="Header"/>
              <w:numPr>
                <w:ilvl w:val="0"/>
                <w:numId w:val="1"/>
              </w:numPr>
              <w:tabs>
                <w:tab w:val="clear" w:pos="4320"/>
                <w:tab w:val="clear" w:pos="8640"/>
              </w:tabs>
              <w:spacing w:before="120" w:after="120"/>
              <w:jc w:val="both"/>
            </w:pPr>
            <w:r w:rsidRPr="00D50DB1">
              <w:t>Section 13.1151(b)</w:t>
            </w:r>
          </w:p>
          <w:p w:rsidR="008423E4" w:rsidRDefault="00D01156" w:rsidP="00657658">
            <w:pPr>
              <w:pStyle w:val="Header"/>
              <w:numPr>
                <w:ilvl w:val="0"/>
                <w:numId w:val="1"/>
              </w:numPr>
              <w:tabs>
                <w:tab w:val="clear" w:pos="4320"/>
                <w:tab w:val="clear" w:pos="8640"/>
              </w:tabs>
              <w:spacing w:before="120" w:after="120"/>
              <w:jc w:val="both"/>
            </w:pPr>
            <w:r w:rsidRPr="00D50DB1">
              <w:t xml:space="preserve">Chapter 17       </w:t>
            </w:r>
          </w:p>
          <w:p w:rsidR="008423E4" w:rsidRPr="00657658" w:rsidRDefault="00D01156" w:rsidP="00657658">
            <w:pPr>
              <w:jc w:val="both"/>
              <w:rPr>
                <w:b/>
                <w:sz w:val="20"/>
              </w:rPr>
            </w:pPr>
          </w:p>
        </w:tc>
      </w:tr>
      <w:tr w:rsidR="00304C9F" w:rsidTr="00345119">
        <w:tc>
          <w:tcPr>
            <w:tcW w:w="9576" w:type="dxa"/>
          </w:tcPr>
          <w:p w:rsidR="008423E4" w:rsidRPr="00A8133F" w:rsidRDefault="00D01156" w:rsidP="00657658">
            <w:pPr>
              <w:jc w:val="both"/>
              <w:rPr>
                <w:b/>
              </w:rPr>
            </w:pPr>
            <w:r w:rsidRPr="009C1E9A">
              <w:rPr>
                <w:b/>
                <w:u w:val="single"/>
              </w:rPr>
              <w:t>EFFECTIVE DATE</w:t>
            </w:r>
            <w:r>
              <w:rPr>
                <w:b/>
              </w:rPr>
              <w:t xml:space="preserve"> </w:t>
            </w:r>
          </w:p>
          <w:p w:rsidR="008423E4" w:rsidRDefault="00D01156" w:rsidP="00657658">
            <w:pPr>
              <w:jc w:val="both"/>
            </w:pPr>
          </w:p>
          <w:p w:rsidR="008423E4" w:rsidRPr="003624F2" w:rsidRDefault="00D01156" w:rsidP="00657658">
            <w:pPr>
              <w:pStyle w:val="Header"/>
              <w:tabs>
                <w:tab w:val="clear" w:pos="4320"/>
                <w:tab w:val="clear" w:pos="8640"/>
              </w:tabs>
              <w:jc w:val="both"/>
            </w:pPr>
            <w:r>
              <w:t>Except as otherwise provided, September 1, 2020.</w:t>
            </w:r>
          </w:p>
          <w:p w:rsidR="008423E4" w:rsidRPr="00233FDB" w:rsidRDefault="00D01156" w:rsidP="00657658">
            <w:pPr>
              <w:jc w:val="both"/>
              <w:rPr>
                <w:b/>
              </w:rPr>
            </w:pPr>
          </w:p>
        </w:tc>
      </w:tr>
      <w:tr w:rsidR="00304C9F" w:rsidTr="00345119">
        <w:tc>
          <w:tcPr>
            <w:tcW w:w="9576" w:type="dxa"/>
          </w:tcPr>
          <w:p w:rsidR="00AC6278" w:rsidRDefault="00D01156" w:rsidP="00AC6278">
            <w:pPr>
              <w:contextualSpacing/>
              <w:jc w:val="both"/>
              <w:rPr>
                <w:b/>
                <w:u w:val="single"/>
              </w:rPr>
            </w:pPr>
            <w:r>
              <w:rPr>
                <w:b/>
                <w:u w:val="single"/>
              </w:rPr>
              <w:t>COMPARISON OF SENATE ENGROSSED AND SUBSTITUTE</w:t>
            </w:r>
          </w:p>
          <w:p w:rsidR="00E64682" w:rsidRDefault="00D01156" w:rsidP="00AC6278">
            <w:pPr>
              <w:contextualSpacing/>
              <w:jc w:val="both"/>
              <w:rPr>
                <w:b/>
                <w:u w:val="single"/>
              </w:rPr>
            </w:pPr>
          </w:p>
          <w:p w:rsidR="00DE22DC" w:rsidRDefault="00D01156" w:rsidP="00DE22DC">
            <w:pPr>
              <w:contextualSpacing/>
              <w:jc w:val="both"/>
            </w:pPr>
            <w:r>
              <w:t xml:space="preserve">While C.S.S.B. 2119 </w:t>
            </w:r>
            <w:r>
              <w:t>may differ from the engrossed in minor or nonsubstantive ways, the following summarizes the substantial differences between the engrossed and committee substitute versions of the bill.</w:t>
            </w:r>
          </w:p>
          <w:p w:rsidR="00DE22DC" w:rsidRDefault="00D01156" w:rsidP="00DE22DC">
            <w:pPr>
              <w:contextualSpacing/>
              <w:jc w:val="both"/>
            </w:pPr>
          </w:p>
          <w:p w:rsidR="00DE22DC" w:rsidRDefault="00D01156" w:rsidP="00DE22DC">
            <w:pPr>
              <w:contextualSpacing/>
              <w:jc w:val="both"/>
            </w:pPr>
            <w:r>
              <w:t>The substitute provides for the transfer of software source code and d</w:t>
            </w:r>
            <w:r>
              <w:t xml:space="preserve">ocumentation of </w:t>
            </w:r>
            <w:r w:rsidRPr="006E7C88">
              <w:t xml:space="preserve">the TDA </w:t>
            </w:r>
            <w:r>
              <w:t xml:space="preserve">relating to a program or activity transferred under the bill to TDLR </w:t>
            </w:r>
            <w:r w:rsidRPr="00A9485B">
              <w:t>on the effective date of the transfer of the program or activity</w:t>
            </w:r>
            <w:r>
              <w:t xml:space="preserve">. </w:t>
            </w:r>
          </w:p>
          <w:p w:rsidR="00DE22DC" w:rsidRDefault="00D01156" w:rsidP="00DE22DC">
            <w:pPr>
              <w:contextualSpacing/>
              <w:jc w:val="both"/>
            </w:pPr>
          </w:p>
          <w:p w:rsidR="00DE22DC" w:rsidRDefault="00D01156" w:rsidP="00DE22DC">
            <w:pPr>
              <w:contextualSpacing/>
              <w:jc w:val="both"/>
            </w:pPr>
            <w:r>
              <w:t xml:space="preserve">The substitute changes the requirement for </w:t>
            </w:r>
            <w:r w:rsidRPr="003679A5">
              <w:t xml:space="preserve">TDLR to </w:t>
            </w:r>
            <w:r>
              <w:t>e</w:t>
            </w:r>
            <w:r w:rsidRPr="003679A5">
              <w:t>nforce the bill's provisions and to supervi</w:t>
            </w:r>
            <w:r w:rsidRPr="003679A5">
              <w:t>se all motor fuel metering devices sold or offered for sale in Texas</w:t>
            </w:r>
            <w:r>
              <w:t xml:space="preserve"> to a requirement for TDLR to </w:t>
            </w:r>
            <w:r w:rsidRPr="003679A5">
              <w:t xml:space="preserve">administer and enforce the bill's provisions and to regulate all </w:t>
            </w:r>
            <w:r>
              <w:t xml:space="preserve">such </w:t>
            </w:r>
            <w:r w:rsidRPr="003679A5">
              <w:t>motor fuel metering devices.</w:t>
            </w:r>
          </w:p>
          <w:p w:rsidR="00DE22DC" w:rsidRDefault="00D01156" w:rsidP="00DE22DC">
            <w:pPr>
              <w:contextualSpacing/>
              <w:jc w:val="both"/>
            </w:pPr>
          </w:p>
          <w:p w:rsidR="00DE22DC" w:rsidRDefault="00D01156" w:rsidP="00DE22DC">
            <w:pPr>
              <w:contextualSpacing/>
              <w:jc w:val="both"/>
            </w:pPr>
            <w:r>
              <w:t>The substitute replaces certain references to TDLR with re</w:t>
            </w:r>
            <w:r>
              <w:t xml:space="preserve">ferences to the executive director of TDLR in provisions relating to </w:t>
            </w:r>
            <w:r w:rsidRPr="0009743F">
              <w:t>a civil penalty and injunction</w:t>
            </w:r>
            <w:r>
              <w:t xml:space="preserve"> and provisions relating to</w:t>
            </w:r>
            <w:r w:rsidRPr="0009743F">
              <w:t xml:space="preserve"> </w:t>
            </w:r>
            <w:r>
              <w:t>a stop</w:t>
            </w:r>
            <w:r>
              <w:noBreakHyphen/>
              <w:t>sale order.</w:t>
            </w:r>
          </w:p>
          <w:p w:rsidR="00DE22DC" w:rsidRDefault="00D01156" w:rsidP="00DE22DC">
            <w:pPr>
              <w:contextualSpacing/>
              <w:jc w:val="both"/>
            </w:pPr>
          </w:p>
          <w:p w:rsidR="00DE22DC" w:rsidRDefault="00D01156" w:rsidP="00DE22DC">
            <w:pPr>
              <w:contextualSpacing/>
              <w:jc w:val="both"/>
            </w:pPr>
            <w:r>
              <w:t>The substitute includes the following provisions:</w:t>
            </w:r>
          </w:p>
          <w:p w:rsidR="00DE22DC" w:rsidRDefault="00D01156" w:rsidP="00DE22DC">
            <w:pPr>
              <w:pStyle w:val="ListParagraph"/>
              <w:numPr>
                <w:ilvl w:val="0"/>
                <w:numId w:val="8"/>
              </w:numPr>
              <w:spacing w:before="120" w:after="120"/>
              <w:contextualSpacing w:val="0"/>
              <w:jc w:val="both"/>
            </w:pPr>
            <w:r>
              <w:t>a requirement for the executive director to establish metho</w:t>
            </w:r>
            <w:r>
              <w:t xml:space="preserve">ds by which </w:t>
            </w:r>
            <w:r w:rsidRPr="00C762B3">
              <w:t>consumers and service recipients are notified</w:t>
            </w:r>
            <w:r>
              <w:t xml:space="preserve"> for purposes of complaints regarding motor fuel metering devices; </w:t>
            </w:r>
          </w:p>
          <w:p w:rsidR="00DE22DC" w:rsidRDefault="00D01156" w:rsidP="00DE22DC">
            <w:pPr>
              <w:pStyle w:val="ListParagraph"/>
              <w:numPr>
                <w:ilvl w:val="0"/>
                <w:numId w:val="8"/>
              </w:numPr>
              <w:spacing w:before="120" w:after="120"/>
              <w:contextualSpacing w:val="0"/>
              <w:jc w:val="both"/>
            </w:pPr>
            <w:r>
              <w:t>provisions relating to the state metrology laboratory maintained by the TDA regarding the inspection of standards used to perform d</w:t>
            </w:r>
            <w:r>
              <w:t>evice maintenance activities</w:t>
            </w:r>
            <w:r>
              <w:t xml:space="preserve"> and a memorandum of understanding with TDLR</w:t>
            </w:r>
            <w:r>
              <w:t xml:space="preserve">; </w:t>
            </w:r>
          </w:p>
          <w:p w:rsidR="00856BFB" w:rsidRDefault="00D01156" w:rsidP="00DE22DC">
            <w:pPr>
              <w:pStyle w:val="ListParagraph"/>
              <w:numPr>
                <w:ilvl w:val="0"/>
                <w:numId w:val="8"/>
              </w:numPr>
              <w:contextualSpacing w:val="0"/>
              <w:jc w:val="both"/>
            </w:pPr>
            <w:r>
              <w:t>a requirement that TDLR conduct a criminal background check on each applicant for a service company license and on any controlling person of the applicant;</w:t>
            </w:r>
          </w:p>
          <w:p w:rsidR="00DE22DC" w:rsidRDefault="00D01156" w:rsidP="00DE22DC">
            <w:pPr>
              <w:pStyle w:val="ListParagraph"/>
              <w:numPr>
                <w:ilvl w:val="0"/>
                <w:numId w:val="8"/>
              </w:numPr>
              <w:contextualSpacing w:val="0"/>
              <w:jc w:val="both"/>
            </w:pPr>
            <w:r>
              <w:t xml:space="preserve">provisions making a </w:t>
            </w:r>
            <w:r w:rsidRPr="00D50DB1">
              <w:t>motor</w:t>
            </w:r>
            <w:r w:rsidRPr="00D50DB1">
              <w:t xml:space="preserve"> fuel met</w:t>
            </w:r>
            <w:r>
              <w:t>ering device service technician</w:t>
            </w:r>
            <w:r w:rsidRPr="00D50DB1">
              <w:t xml:space="preserve"> and motor fuel m</w:t>
            </w:r>
            <w:r>
              <w:t>etering device service company license valid for one or two years.</w:t>
            </w:r>
          </w:p>
          <w:p w:rsidR="00DE22DC" w:rsidRDefault="00D01156" w:rsidP="00DE22DC">
            <w:pPr>
              <w:jc w:val="both"/>
            </w:pPr>
          </w:p>
          <w:p w:rsidR="00DE22DC" w:rsidRDefault="00D01156" w:rsidP="00DE22DC">
            <w:pPr>
              <w:contextualSpacing/>
              <w:jc w:val="both"/>
            </w:pPr>
            <w:r>
              <w:t>The substitute does not include the following provisions:</w:t>
            </w:r>
          </w:p>
          <w:p w:rsidR="00DE22DC" w:rsidRDefault="00D01156" w:rsidP="00DE22DC">
            <w:pPr>
              <w:pStyle w:val="ListParagraph"/>
              <w:numPr>
                <w:ilvl w:val="0"/>
                <w:numId w:val="9"/>
              </w:numPr>
              <w:spacing w:before="120" w:after="120"/>
              <w:ind w:left="778"/>
              <w:contextualSpacing w:val="0"/>
              <w:jc w:val="both"/>
            </w:pPr>
            <w:r>
              <w:t>provisions relating to certain tests for state institutions; and</w:t>
            </w:r>
          </w:p>
          <w:p w:rsidR="00DE22DC" w:rsidRDefault="00D01156" w:rsidP="00DE22DC">
            <w:pPr>
              <w:pStyle w:val="ListParagraph"/>
              <w:numPr>
                <w:ilvl w:val="0"/>
                <w:numId w:val="9"/>
              </w:numPr>
              <w:ind w:left="778"/>
              <w:contextualSpacing w:val="0"/>
              <w:jc w:val="both"/>
            </w:pPr>
            <w:r>
              <w:t>a prohibition against TCLR increasing a certain fee for a motor fuel metering device by more than a specified amount at the end of the preceding state fiscal biennium.</w:t>
            </w:r>
          </w:p>
          <w:p w:rsidR="00DE22DC" w:rsidRDefault="00D01156" w:rsidP="00DE22DC">
            <w:pPr>
              <w:contextualSpacing/>
              <w:jc w:val="both"/>
            </w:pPr>
          </w:p>
          <w:p w:rsidR="00DE22DC" w:rsidRDefault="00D01156" w:rsidP="00DE22DC">
            <w:pPr>
              <w:contextualSpacing/>
              <w:jc w:val="both"/>
            </w:pPr>
            <w:r>
              <w:t>The substitute changes the bill's provisions regarding license renewal by requiring TCL</w:t>
            </w:r>
            <w:r>
              <w:t>R by rule to establish the requirements for renewal and issuance of a renewal license. The bill changes the bill's provisions referencing certain TDLR rulemaking to instead reference TCLR rulemaking.</w:t>
            </w:r>
          </w:p>
          <w:p w:rsidR="00DE22DC" w:rsidRDefault="00D01156" w:rsidP="00DE22DC">
            <w:pPr>
              <w:contextualSpacing/>
              <w:jc w:val="both"/>
            </w:pPr>
          </w:p>
          <w:p w:rsidR="00DE22DC" w:rsidRPr="00AC6278" w:rsidRDefault="00D01156" w:rsidP="00DE22DC">
            <w:pPr>
              <w:contextualSpacing/>
              <w:jc w:val="both"/>
              <w:rPr>
                <w:b/>
                <w:u w:val="single"/>
              </w:rPr>
            </w:pPr>
            <w:r>
              <w:t>The substitute changes the bill's effective date for th</w:t>
            </w:r>
            <w:r>
              <w:t xml:space="preserve">e procedural provision </w:t>
            </w:r>
            <w:r w:rsidRPr="00D50DB1">
              <w:t>provid</w:t>
            </w:r>
            <w:r>
              <w:t>ing</w:t>
            </w:r>
            <w:r w:rsidRPr="00D50DB1">
              <w:t xml:space="preserve"> for the bill's transfer of regulation from the TDA to TDLR</w:t>
            </w:r>
            <w:r>
              <w:t>.</w:t>
            </w:r>
          </w:p>
        </w:tc>
      </w:tr>
    </w:tbl>
    <w:p w:rsidR="008423E4" w:rsidRPr="00BE0E75" w:rsidRDefault="00D01156" w:rsidP="00A85B69">
      <w:pPr>
        <w:spacing w:line="480" w:lineRule="auto"/>
        <w:jc w:val="both"/>
        <w:rPr>
          <w:rFonts w:ascii="Arial" w:hAnsi="Arial"/>
          <w:sz w:val="16"/>
          <w:szCs w:val="16"/>
        </w:rPr>
      </w:pPr>
    </w:p>
    <w:p w:rsidR="004108C3" w:rsidRPr="008423E4" w:rsidRDefault="00D01156" w:rsidP="00A85B69">
      <w:pPr>
        <w:jc w:val="both"/>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1156">
      <w:r>
        <w:separator/>
      </w:r>
    </w:p>
  </w:endnote>
  <w:endnote w:type="continuationSeparator" w:id="0">
    <w:p w:rsidR="00000000" w:rsidRDefault="00D0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26" w:rsidRDefault="00D0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04C9F" w:rsidTr="009C1E9A">
      <w:trPr>
        <w:cantSplit/>
      </w:trPr>
      <w:tc>
        <w:tcPr>
          <w:tcW w:w="0" w:type="pct"/>
        </w:tcPr>
        <w:p w:rsidR="00137D90" w:rsidRDefault="00D01156" w:rsidP="009C1E9A">
          <w:pPr>
            <w:pStyle w:val="Footer"/>
            <w:tabs>
              <w:tab w:val="clear" w:pos="8640"/>
              <w:tab w:val="right" w:pos="9360"/>
            </w:tabs>
          </w:pPr>
        </w:p>
      </w:tc>
      <w:tc>
        <w:tcPr>
          <w:tcW w:w="2395" w:type="pct"/>
        </w:tcPr>
        <w:p w:rsidR="00137D90" w:rsidRDefault="00D01156" w:rsidP="009C1E9A">
          <w:pPr>
            <w:pStyle w:val="Footer"/>
            <w:tabs>
              <w:tab w:val="clear" w:pos="8640"/>
              <w:tab w:val="right" w:pos="9360"/>
            </w:tabs>
          </w:pPr>
        </w:p>
        <w:p w:rsidR="001A4310" w:rsidRDefault="00D01156" w:rsidP="009C1E9A">
          <w:pPr>
            <w:pStyle w:val="Footer"/>
            <w:tabs>
              <w:tab w:val="clear" w:pos="8640"/>
              <w:tab w:val="right" w:pos="9360"/>
            </w:tabs>
          </w:pPr>
        </w:p>
        <w:p w:rsidR="00137D90" w:rsidRDefault="00D01156" w:rsidP="009C1E9A">
          <w:pPr>
            <w:pStyle w:val="Footer"/>
            <w:tabs>
              <w:tab w:val="clear" w:pos="8640"/>
              <w:tab w:val="right" w:pos="9360"/>
            </w:tabs>
          </w:pPr>
        </w:p>
      </w:tc>
      <w:tc>
        <w:tcPr>
          <w:tcW w:w="2453" w:type="pct"/>
        </w:tcPr>
        <w:p w:rsidR="00137D90" w:rsidRDefault="00D01156" w:rsidP="009C1E9A">
          <w:pPr>
            <w:pStyle w:val="Footer"/>
            <w:tabs>
              <w:tab w:val="clear" w:pos="8640"/>
              <w:tab w:val="right" w:pos="9360"/>
            </w:tabs>
            <w:jc w:val="right"/>
          </w:pPr>
        </w:p>
      </w:tc>
    </w:tr>
    <w:tr w:rsidR="00304C9F" w:rsidTr="009C1E9A">
      <w:trPr>
        <w:cantSplit/>
      </w:trPr>
      <w:tc>
        <w:tcPr>
          <w:tcW w:w="0" w:type="pct"/>
        </w:tcPr>
        <w:p w:rsidR="00EC379B" w:rsidRDefault="00D01156" w:rsidP="009C1E9A">
          <w:pPr>
            <w:pStyle w:val="Footer"/>
            <w:tabs>
              <w:tab w:val="clear" w:pos="8640"/>
              <w:tab w:val="right" w:pos="9360"/>
            </w:tabs>
          </w:pPr>
        </w:p>
      </w:tc>
      <w:tc>
        <w:tcPr>
          <w:tcW w:w="2395" w:type="pct"/>
        </w:tcPr>
        <w:p w:rsidR="00EC379B" w:rsidRPr="009C1E9A" w:rsidRDefault="00D01156" w:rsidP="009C1E9A">
          <w:pPr>
            <w:pStyle w:val="Footer"/>
            <w:tabs>
              <w:tab w:val="clear" w:pos="8640"/>
              <w:tab w:val="right" w:pos="9360"/>
            </w:tabs>
            <w:rPr>
              <w:rFonts w:ascii="Shruti" w:hAnsi="Shruti"/>
              <w:sz w:val="22"/>
            </w:rPr>
          </w:pPr>
          <w:r>
            <w:rPr>
              <w:rFonts w:ascii="Shruti" w:hAnsi="Shruti"/>
              <w:sz w:val="22"/>
            </w:rPr>
            <w:t>86R 33291</w:t>
          </w:r>
        </w:p>
      </w:tc>
      <w:tc>
        <w:tcPr>
          <w:tcW w:w="2453" w:type="pct"/>
        </w:tcPr>
        <w:p w:rsidR="00EC379B" w:rsidRDefault="00D01156" w:rsidP="009C1E9A">
          <w:pPr>
            <w:pStyle w:val="Footer"/>
            <w:tabs>
              <w:tab w:val="clear" w:pos="8640"/>
              <w:tab w:val="right" w:pos="9360"/>
            </w:tabs>
            <w:jc w:val="right"/>
          </w:pPr>
          <w:r>
            <w:fldChar w:fldCharType="begin"/>
          </w:r>
          <w:r>
            <w:instrText xml:space="preserve"> DOCPROPERTY  OTID  \* MERGEFORMAT </w:instrText>
          </w:r>
          <w:r>
            <w:fldChar w:fldCharType="separate"/>
          </w:r>
          <w:r>
            <w:t>19.129.805</w:t>
          </w:r>
          <w:r>
            <w:fldChar w:fldCharType="end"/>
          </w:r>
        </w:p>
      </w:tc>
    </w:tr>
    <w:tr w:rsidR="00304C9F" w:rsidTr="009C1E9A">
      <w:trPr>
        <w:cantSplit/>
      </w:trPr>
      <w:tc>
        <w:tcPr>
          <w:tcW w:w="0" w:type="pct"/>
        </w:tcPr>
        <w:p w:rsidR="00EC379B" w:rsidRDefault="00D01156" w:rsidP="009C1E9A">
          <w:pPr>
            <w:pStyle w:val="Footer"/>
            <w:tabs>
              <w:tab w:val="clear" w:pos="4320"/>
              <w:tab w:val="clear" w:pos="8640"/>
              <w:tab w:val="left" w:pos="2865"/>
            </w:tabs>
          </w:pPr>
        </w:p>
      </w:tc>
      <w:tc>
        <w:tcPr>
          <w:tcW w:w="2395" w:type="pct"/>
        </w:tcPr>
        <w:p w:rsidR="00EC379B" w:rsidRPr="009C1E9A" w:rsidRDefault="00D01156" w:rsidP="009C1E9A">
          <w:pPr>
            <w:pStyle w:val="Footer"/>
            <w:tabs>
              <w:tab w:val="clear" w:pos="4320"/>
              <w:tab w:val="clear" w:pos="8640"/>
              <w:tab w:val="left" w:pos="2865"/>
            </w:tabs>
            <w:rPr>
              <w:rFonts w:ascii="Shruti" w:hAnsi="Shruti"/>
              <w:sz w:val="22"/>
            </w:rPr>
          </w:pPr>
          <w:r>
            <w:rPr>
              <w:rFonts w:ascii="Shruti" w:hAnsi="Shruti"/>
              <w:sz w:val="22"/>
            </w:rPr>
            <w:t>Substitute Document</w:t>
          </w:r>
          <w:r>
            <w:rPr>
              <w:rFonts w:ascii="Shruti" w:hAnsi="Shruti"/>
              <w:sz w:val="22"/>
            </w:rPr>
            <w:t xml:space="preserve"> Number: 86R 28659</w:t>
          </w:r>
        </w:p>
      </w:tc>
      <w:tc>
        <w:tcPr>
          <w:tcW w:w="2453" w:type="pct"/>
        </w:tcPr>
        <w:p w:rsidR="00EC379B" w:rsidRDefault="00D01156" w:rsidP="006D504F">
          <w:pPr>
            <w:pStyle w:val="Footer"/>
            <w:rPr>
              <w:rStyle w:val="PageNumber"/>
            </w:rPr>
          </w:pPr>
        </w:p>
        <w:p w:rsidR="00EC379B" w:rsidRDefault="00D01156" w:rsidP="009C1E9A">
          <w:pPr>
            <w:pStyle w:val="Footer"/>
            <w:tabs>
              <w:tab w:val="clear" w:pos="8640"/>
              <w:tab w:val="right" w:pos="9360"/>
            </w:tabs>
            <w:jc w:val="right"/>
          </w:pPr>
        </w:p>
      </w:tc>
    </w:tr>
    <w:tr w:rsidR="00304C9F" w:rsidTr="009C1E9A">
      <w:trPr>
        <w:cantSplit/>
        <w:trHeight w:val="323"/>
      </w:trPr>
      <w:tc>
        <w:tcPr>
          <w:tcW w:w="0" w:type="pct"/>
          <w:gridSpan w:val="3"/>
        </w:tcPr>
        <w:p w:rsidR="00EC379B" w:rsidRDefault="00D011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01156" w:rsidP="009C1E9A">
          <w:pPr>
            <w:pStyle w:val="Footer"/>
            <w:tabs>
              <w:tab w:val="clear" w:pos="8640"/>
              <w:tab w:val="right" w:pos="9360"/>
            </w:tabs>
            <w:jc w:val="center"/>
          </w:pPr>
        </w:p>
      </w:tc>
    </w:tr>
  </w:tbl>
  <w:p w:rsidR="00EC379B" w:rsidRPr="00FF6F72" w:rsidRDefault="00D0115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26" w:rsidRDefault="00D0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1156">
      <w:r>
        <w:separator/>
      </w:r>
    </w:p>
  </w:footnote>
  <w:footnote w:type="continuationSeparator" w:id="0">
    <w:p w:rsidR="00000000" w:rsidRDefault="00D0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26" w:rsidRDefault="00D0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26" w:rsidRDefault="00D01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26" w:rsidRDefault="00D01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858"/>
    <w:multiLevelType w:val="hybridMultilevel"/>
    <w:tmpl w:val="D2801C6A"/>
    <w:lvl w:ilvl="0" w:tplc="04C2D1E2">
      <w:start w:val="1"/>
      <w:numFmt w:val="bullet"/>
      <w:lvlText w:val=""/>
      <w:lvlJc w:val="left"/>
      <w:pPr>
        <w:tabs>
          <w:tab w:val="num" w:pos="720"/>
        </w:tabs>
        <w:ind w:left="720" w:hanging="360"/>
      </w:pPr>
      <w:rPr>
        <w:rFonts w:ascii="Symbol" w:hAnsi="Symbol" w:hint="default"/>
      </w:rPr>
    </w:lvl>
    <w:lvl w:ilvl="1" w:tplc="60E6C11E" w:tentative="1">
      <w:start w:val="1"/>
      <w:numFmt w:val="bullet"/>
      <w:lvlText w:val="o"/>
      <w:lvlJc w:val="left"/>
      <w:pPr>
        <w:ind w:left="1440" w:hanging="360"/>
      </w:pPr>
      <w:rPr>
        <w:rFonts w:ascii="Courier New" w:hAnsi="Courier New" w:cs="Courier New" w:hint="default"/>
      </w:rPr>
    </w:lvl>
    <w:lvl w:ilvl="2" w:tplc="41801C54" w:tentative="1">
      <w:start w:val="1"/>
      <w:numFmt w:val="bullet"/>
      <w:lvlText w:val=""/>
      <w:lvlJc w:val="left"/>
      <w:pPr>
        <w:ind w:left="2160" w:hanging="360"/>
      </w:pPr>
      <w:rPr>
        <w:rFonts w:ascii="Wingdings" w:hAnsi="Wingdings" w:hint="default"/>
      </w:rPr>
    </w:lvl>
    <w:lvl w:ilvl="3" w:tplc="4D7E6CD2" w:tentative="1">
      <w:start w:val="1"/>
      <w:numFmt w:val="bullet"/>
      <w:lvlText w:val=""/>
      <w:lvlJc w:val="left"/>
      <w:pPr>
        <w:ind w:left="2880" w:hanging="360"/>
      </w:pPr>
      <w:rPr>
        <w:rFonts w:ascii="Symbol" w:hAnsi="Symbol" w:hint="default"/>
      </w:rPr>
    </w:lvl>
    <w:lvl w:ilvl="4" w:tplc="16FE5738" w:tentative="1">
      <w:start w:val="1"/>
      <w:numFmt w:val="bullet"/>
      <w:lvlText w:val="o"/>
      <w:lvlJc w:val="left"/>
      <w:pPr>
        <w:ind w:left="3600" w:hanging="360"/>
      </w:pPr>
      <w:rPr>
        <w:rFonts w:ascii="Courier New" w:hAnsi="Courier New" w:cs="Courier New" w:hint="default"/>
      </w:rPr>
    </w:lvl>
    <w:lvl w:ilvl="5" w:tplc="5A64489E" w:tentative="1">
      <w:start w:val="1"/>
      <w:numFmt w:val="bullet"/>
      <w:lvlText w:val=""/>
      <w:lvlJc w:val="left"/>
      <w:pPr>
        <w:ind w:left="4320" w:hanging="360"/>
      </w:pPr>
      <w:rPr>
        <w:rFonts w:ascii="Wingdings" w:hAnsi="Wingdings" w:hint="default"/>
      </w:rPr>
    </w:lvl>
    <w:lvl w:ilvl="6" w:tplc="4ECC35FE" w:tentative="1">
      <w:start w:val="1"/>
      <w:numFmt w:val="bullet"/>
      <w:lvlText w:val=""/>
      <w:lvlJc w:val="left"/>
      <w:pPr>
        <w:ind w:left="5040" w:hanging="360"/>
      </w:pPr>
      <w:rPr>
        <w:rFonts w:ascii="Symbol" w:hAnsi="Symbol" w:hint="default"/>
      </w:rPr>
    </w:lvl>
    <w:lvl w:ilvl="7" w:tplc="C8E6BBFE" w:tentative="1">
      <w:start w:val="1"/>
      <w:numFmt w:val="bullet"/>
      <w:lvlText w:val="o"/>
      <w:lvlJc w:val="left"/>
      <w:pPr>
        <w:ind w:left="5760" w:hanging="360"/>
      </w:pPr>
      <w:rPr>
        <w:rFonts w:ascii="Courier New" w:hAnsi="Courier New" w:cs="Courier New" w:hint="default"/>
      </w:rPr>
    </w:lvl>
    <w:lvl w:ilvl="8" w:tplc="B308B118" w:tentative="1">
      <w:start w:val="1"/>
      <w:numFmt w:val="bullet"/>
      <w:lvlText w:val=""/>
      <w:lvlJc w:val="left"/>
      <w:pPr>
        <w:ind w:left="6480" w:hanging="360"/>
      </w:pPr>
      <w:rPr>
        <w:rFonts w:ascii="Wingdings" w:hAnsi="Wingdings" w:hint="default"/>
      </w:rPr>
    </w:lvl>
  </w:abstractNum>
  <w:abstractNum w:abstractNumId="1" w15:restartNumberingAfterBreak="0">
    <w:nsid w:val="177106D8"/>
    <w:multiLevelType w:val="hybridMultilevel"/>
    <w:tmpl w:val="7102C59C"/>
    <w:lvl w:ilvl="0" w:tplc="A46439D2">
      <w:start w:val="1"/>
      <w:numFmt w:val="bullet"/>
      <w:lvlText w:val=""/>
      <w:lvlJc w:val="left"/>
      <w:pPr>
        <w:tabs>
          <w:tab w:val="num" w:pos="720"/>
        </w:tabs>
        <w:ind w:left="720" w:hanging="360"/>
      </w:pPr>
      <w:rPr>
        <w:rFonts w:ascii="Symbol" w:hAnsi="Symbol" w:hint="default"/>
      </w:rPr>
    </w:lvl>
    <w:lvl w:ilvl="1" w:tplc="9886FCE2" w:tentative="1">
      <w:start w:val="1"/>
      <w:numFmt w:val="bullet"/>
      <w:lvlText w:val="o"/>
      <w:lvlJc w:val="left"/>
      <w:pPr>
        <w:ind w:left="1440" w:hanging="360"/>
      </w:pPr>
      <w:rPr>
        <w:rFonts w:ascii="Courier New" w:hAnsi="Courier New" w:cs="Courier New" w:hint="default"/>
      </w:rPr>
    </w:lvl>
    <w:lvl w:ilvl="2" w:tplc="1CA0B13A" w:tentative="1">
      <w:start w:val="1"/>
      <w:numFmt w:val="bullet"/>
      <w:lvlText w:val=""/>
      <w:lvlJc w:val="left"/>
      <w:pPr>
        <w:ind w:left="2160" w:hanging="360"/>
      </w:pPr>
      <w:rPr>
        <w:rFonts w:ascii="Wingdings" w:hAnsi="Wingdings" w:hint="default"/>
      </w:rPr>
    </w:lvl>
    <w:lvl w:ilvl="3" w:tplc="A7362E1C" w:tentative="1">
      <w:start w:val="1"/>
      <w:numFmt w:val="bullet"/>
      <w:lvlText w:val=""/>
      <w:lvlJc w:val="left"/>
      <w:pPr>
        <w:ind w:left="2880" w:hanging="360"/>
      </w:pPr>
      <w:rPr>
        <w:rFonts w:ascii="Symbol" w:hAnsi="Symbol" w:hint="default"/>
      </w:rPr>
    </w:lvl>
    <w:lvl w:ilvl="4" w:tplc="31E4784E" w:tentative="1">
      <w:start w:val="1"/>
      <w:numFmt w:val="bullet"/>
      <w:lvlText w:val="o"/>
      <w:lvlJc w:val="left"/>
      <w:pPr>
        <w:ind w:left="3600" w:hanging="360"/>
      </w:pPr>
      <w:rPr>
        <w:rFonts w:ascii="Courier New" w:hAnsi="Courier New" w:cs="Courier New" w:hint="default"/>
      </w:rPr>
    </w:lvl>
    <w:lvl w:ilvl="5" w:tplc="BEE881CE" w:tentative="1">
      <w:start w:val="1"/>
      <w:numFmt w:val="bullet"/>
      <w:lvlText w:val=""/>
      <w:lvlJc w:val="left"/>
      <w:pPr>
        <w:ind w:left="4320" w:hanging="360"/>
      </w:pPr>
      <w:rPr>
        <w:rFonts w:ascii="Wingdings" w:hAnsi="Wingdings" w:hint="default"/>
      </w:rPr>
    </w:lvl>
    <w:lvl w:ilvl="6" w:tplc="5E5692A6" w:tentative="1">
      <w:start w:val="1"/>
      <w:numFmt w:val="bullet"/>
      <w:lvlText w:val=""/>
      <w:lvlJc w:val="left"/>
      <w:pPr>
        <w:ind w:left="5040" w:hanging="360"/>
      </w:pPr>
      <w:rPr>
        <w:rFonts w:ascii="Symbol" w:hAnsi="Symbol" w:hint="default"/>
      </w:rPr>
    </w:lvl>
    <w:lvl w:ilvl="7" w:tplc="67A82BE0" w:tentative="1">
      <w:start w:val="1"/>
      <w:numFmt w:val="bullet"/>
      <w:lvlText w:val="o"/>
      <w:lvlJc w:val="left"/>
      <w:pPr>
        <w:ind w:left="5760" w:hanging="360"/>
      </w:pPr>
      <w:rPr>
        <w:rFonts w:ascii="Courier New" w:hAnsi="Courier New" w:cs="Courier New" w:hint="default"/>
      </w:rPr>
    </w:lvl>
    <w:lvl w:ilvl="8" w:tplc="90CE9A16" w:tentative="1">
      <w:start w:val="1"/>
      <w:numFmt w:val="bullet"/>
      <w:lvlText w:val=""/>
      <w:lvlJc w:val="left"/>
      <w:pPr>
        <w:ind w:left="6480" w:hanging="360"/>
      </w:pPr>
      <w:rPr>
        <w:rFonts w:ascii="Wingdings" w:hAnsi="Wingdings" w:hint="default"/>
      </w:rPr>
    </w:lvl>
  </w:abstractNum>
  <w:abstractNum w:abstractNumId="2" w15:restartNumberingAfterBreak="0">
    <w:nsid w:val="1A001C53"/>
    <w:multiLevelType w:val="hybridMultilevel"/>
    <w:tmpl w:val="A738AA8E"/>
    <w:lvl w:ilvl="0" w:tplc="D76CCF3A">
      <w:start w:val="1"/>
      <w:numFmt w:val="bullet"/>
      <w:lvlText w:val=""/>
      <w:lvlJc w:val="left"/>
      <w:pPr>
        <w:tabs>
          <w:tab w:val="num" w:pos="720"/>
        </w:tabs>
        <w:ind w:left="720" w:hanging="360"/>
      </w:pPr>
      <w:rPr>
        <w:rFonts w:ascii="Symbol" w:hAnsi="Symbol" w:hint="default"/>
      </w:rPr>
    </w:lvl>
    <w:lvl w:ilvl="1" w:tplc="99E8E6C0" w:tentative="1">
      <w:start w:val="1"/>
      <w:numFmt w:val="bullet"/>
      <w:lvlText w:val="o"/>
      <w:lvlJc w:val="left"/>
      <w:pPr>
        <w:ind w:left="1440" w:hanging="360"/>
      </w:pPr>
      <w:rPr>
        <w:rFonts w:ascii="Courier New" w:hAnsi="Courier New" w:cs="Courier New" w:hint="default"/>
      </w:rPr>
    </w:lvl>
    <w:lvl w:ilvl="2" w:tplc="06705D16" w:tentative="1">
      <w:start w:val="1"/>
      <w:numFmt w:val="bullet"/>
      <w:lvlText w:val=""/>
      <w:lvlJc w:val="left"/>
      <w:pPr>
        <w:ind w:left="2160" w:hanging="360"/>
      </w:pPr>
      <w:rPr>
        <w:rFonts w:ascii="Wingdings" w:hAnsi="Wingdings" w:hint="default"/>
      </w:rPr>
    </w:lvl>
    <w:lvl w:ilvl="3" w:tplc="8AB60426" w:tentative="1">
      <w:start w:val="1"/>
      <w:numFmt w:val="bullet"/>
      <w:lvlText w:val=""/>
      <w:lvlJc w:val="left"/>
      <w:pPr>
        <w:ind w:left="2880" w:hanging="360"/>
      </w:pPr>
      <w:rPr>
        <w:rFonts w:ascii="Symbol" w:hAnsi="Symbol" w:hint="default"/>
      </w:rPr>
    </w:lvl>
    <w:lvl w:ilvl="4" w:tplc="82A21B20" w:tentative="1">
      <w:start w:val="1"/>
      <w:numFmt w:val="bullet"/>
      <w:lvlText w:val="o"/>
      <w:lvlJc w:val="left"/>
      <w:pPr>
        <w:ind w:left="3600" w:hanging="360"/>
      </w:pPr>
      <w:rPr>
        <w:rFonts w:ascii="Courier New" w:hAnsi="Courier New" w:cs="Courier New" w:hint="default"/>
      </w:rPr>
    </w:lvl>
    <w:lvl w:ilvl="5" w:tplc="EB9EC994" w:tentative="1">
      <w:start w:val="1"/>
      <w:numFmt w:val="bullet"/>
      <w:lvlText w:val=""/>
      <w:lvlJc w:val="left"/>
      <w:pPr>
        <w:ind w:left="4320" w:hanging="360"/>
      </w:pPr>
      <w:rPr>
        <w:rFonts w:ascii="Wingdings" w:hAnsi="Wingdings" w:hint="default"/>
      </w:rPr>
    </w:lvl>
    <w:lvl w:ilvl="6" w:tplc="A8066FB8" w:tentative="1">
      <w:start w:val="1"/>
      <w:numFmt w:val="bullet"/>
      <w:lvlText w:val=""/>
      <w:lvlJc w:val="left"/>
      <w:pPr>
        <w:ind w:left="5040" w:hanging="360"/>
      </w:pPr>
      <w:rPr>
        <w:rFonts w:ascii="Symbol" w:hAnsi="Symbol" w:hint="default"/>
      </w:rPr>
    </w:lvl>
    <w:lvl w:ilvl="7" w:tplc="532884AE" w:tentative="1">
      <w:start w:val="1"/>
      <w:numFmt w:val="bullet"/>
      <w:lvlText w:val="o"/>
      <w:lvlJc w:val="left"/>
      <w:pPr>
        <w:ind w:left="5760" w:hanging="360"/>
      </w:pPr>
      <w:rPr>
        <w:rFonts w:ascii="Courier New" w:hAnsi="Courier New" w:cs="Courier New" w:hint="default"/>
      </w:rPr>
    </w:lvl>
    <w:lvl w:ilvl="8" w:tplc="69D821A6" w:tentative="1">
      <w:start w:val="1"/>
      <w:numFmt w:val="bullet"/>
      <w:lvlText w:val=""/>
      <w:lvlJc w:val="left"/>
      <w:pPr>
        <w:ind w:left="6480" w:hanging="360"/>
      </w:pPr>
      <w:rPr>
        <w:rFonts w:ascii="Wingdings" w:hAnsi="Wingdings" w:hint="default"/>
      </w:rPr>
    </w:lvl>
  </w:abstractNum>
  <w:abstractNum w:abstractNumId="3" w15:restartNumberingAfterBreak="0">
    <w:nsid w:val="22264B60"/>
    <w:multiLevelType w:val="hybridMultilevel"/>
    <w:tmpl w:val="A8D8042C"/>
    <w:lvl w:ilvl="0" w:tplc="2FD08C78">
      <w:start w:val="1"/>
      <w:numFmt w:val="bullet"/>
      <w:lvlText w:val=""/>
      <w:lvlJc w:val="left"/>
      <w:pPr>
        <w:tabs>
          <w:tab w:val="num" w:pos="720"/>
        </w:tabs>
        <w:ind w:left="720" w:hanging="360"/>
      </w:pPr>
      <w:rPr>
        <w:rFonts w:ascii="Symbol" w:hAnsi="Symbol" w:hint="default"/>
      </w:rPr>
    </w:lvl>
    <w:lvl w:ilvl="1" w:tplc="74541C72" w:tentative="1">
      <w:start w:val="1"/>
      <w:numFmt w:val="bullet"/>
      <w:lvlText w:val="o"/>
      <w:lvlJc w:val="left"/>
      <w:pPr>
        <w:ind w:left="1440" w:hanging="360"/>
      </w:pPr>
      <w:rPr>
        <w:rFonts w:ascii="Courier New" w:hAnsi="Courier New" w:cs="Courier New" w:hint="default"/>
      </w:rPr>
    </w:lvl>
    <w:lvl w:ilvl="2" w:tplc="AF3C4586" w:tentative="1">
      <w:start w:val="1"/>
      <w:numFmt w:val="bullet"/>
      <w:lvlText w:val=""/>
      <w:lvlJc w:val="left"/>
      <w:pPr>
        <w:ind w:left="2160" w:hanging="360"/>
      </w:pPr>
      <w:rPr>
        <w:rFonts w:ascii="Wingdings" w:hAnsi="Wingdings" w:hint="default"/>
      </w:rPr>
    </w:lvl>
    <w:lvl w:ilvl="3" w:tplc="B90A5A92" w:tentative="1">
      <w:start w:val="1"/>
      <w:numFmt w:val="bullet"/>
      <w:lvlText w:val=""/>
      <w:lvlJc w:val="left"/>
      <w:pPr>
        <w:ind w:left="2880" w:hanging="360"/>
      </w:pPr>
      <w:rPr>
        <w:rFonts w:ascii="Symbol" w:hAnsi="Symbol" w:hint="default"/>
      </w:rPr>
    </w:lvl>
    <w:lvl w:ilvl="4" w:tplc="0D7ED6CC" w:tentative="1">
      <w:start w:val="1"/>
      <w:numFmt w:val="bullet"/>
      <w:lvlText w:val="o"/>
      <w:lvlJc w:val="left"/>
      <w:pPr>
        <w:ind w:left="3600" w:hanging="360"/>
      </w:pPr>
      <w:rPr>
        <w:rFonts w:ascii="Courier New" w:hAnsi="Courier New" w:cs="Courier New" w:hint="default"/>
      </w:rPr>
    </w:lvl>
    <w:lvl w:ilvl="5" w:tplc="F9049900" w:tentative="1">
      <w:start w:val="1"/>
      <w:numFmt w:val="bullet"/>
      <w:lvlText w:val=""/>
      <w:lvlJc w:val="left"/>
      <w:pPr>
        <w:ind w:left="4320" w:hanging="360"/>
      </w:pPr>
      <w:rPr>
        <w:rFonts w:ascii="Wingdings" w:hAnsi="Wingdings" w:hint="default"/>
      </w:rPr>
    </w:lvl>
    <w:lvl w:ilvl="6" w:tplc="01C0608E" w:tentative="1">
      <w:start w:val="1"/>
      <w:numFmt w:val="bullet"/>
      <w:lvlText w:val=""/>
      <w:lvlJc w:val="left"/>
      <w:pPr>
        <w:ind w:left="5040" w:hanging="360"/>
      </w:pPr>
      <w:rPr>
        <w:rFonts w:ascii="Symbol" w:hAnsi="Symbol" w:hint="default"/>
      </w:rPr>
    </w:lvl>
    <w:lvl w:ilvl="7" w:tplc="8BE42272" w:tentative="1">
      <w:start w:val="1"/>
      <w:numFmt w:val="bullet"/>
      <w:lvlText w:val="o"/>
      <w:lvlJc w:val="left"/>
      <w:pPr>
        <w:ind w:left="5760" w:hanging="360"/>
      </w:pPr>
      <w:rPr>
        <w:rFonts w:ascii="Courier New" w:hAnsi="Courier New" w:cs="Courier New" w:hint="default"/>
      </w:rPr>
    </w:lvl>
    <w:lvl w:ilvl="8" w:tplc="E8A6B7D8" w:tentative="1">
      <w:start w:val="1"/>
      <w:numFmt w:val="bullet"/>
      <w:lvlText w:val=""/>
      <w:lvlJc w:val="left"/>
      <w:pPr>
        <w:ind w:left="6480" w:hanging="360"/>
      </w:pPr>
      <w:rPr>
        <w:rFonts w:ascii="Wingdings" w:hAnsi="Wingdings" w:hint="default"/>
      </w:rPr>
    </w:lvl>
  </w:abstractNum>
  <w:abstractNum w:abstractNumId="4" w15:restartNumberingAfterBreak="0">
    <w:nsid w:val="2DA00B40"/>
    <w:multiLevelType w:val="hybridMultilevel"/>
    <w:tmpl w:val="8DA0CDDC"/>
    <w:lvl w:ilvl="0" w:tplc="E93C63F2">
      <w:start w:val="1"/>
      <w:numFmt w:val="bullet"/>
      <w:lvlText w:val=""/>
      <w:lvlJc w:val="left"/>
      <w:pPr>
        <w:tabs>
          <w:tab w:val="num" w:pos="720"/>
        </w:tabs>
        <w:ind w:left="720" w:hanging="360"/>
      </w:pPr>
      <w:rPr>
        <w:rFonts w:ascii="Symbol" w:hAnsi="Symbol" w:hint="default"/>
      </w:rPr>
    </w:lvl>
    <w:lvl w:ilvl="1" w:tplc="B716684C" w:tentative="1">
      <w:start w:val="1"/>
      <w:numFmt w:val="bullet"/>
      <w:lvlText w:val="o"/>
      <w:lvlJc w:val="left"/>
      <w:pPr>
        <w:ind w:left="1440" w:hanging="360"/>
      </w:pPr>
      <w:rPr>
        <w:rFonts w:ascii="Courier New" w:hAnsi="Courier New" w:cs="Courier New" w:hint="default"/>
      </w:rPr>
    </w:lvl>
    <w:lvl w:ilvl="2" w:tplc="C18A7256" w:tentative="1">
      <w:start w:val="1"/>
      <w:numFmt w:val="bullet"/>
      <w:lvlText w:val=""/>
      <w:lvlJc w:val="left"/>
      <w:pPr>
        <w:ind w:left="2160" w:hanging="360"/>
      </w:pPr>
      <w:rPr>
        <w:rFonts w:ascii="Wingdings" w:hAnsi="Wingdings" w:hint="default"/>
      </w:rPr>
    </w:lvl>
    <w:lvl w:ilvl="3" w:tplc="E4005CE6" w:tentative="1">
      <w:start w:val="1"/>
      <w:numFmt w:val="bullet"/>
      <w:lvlText w:val=""/>
      <w:lvlJc w:val="left"/>
      <w:pPr>
        <w:ind w:left="2880" w:hanging="360"/>
      </w:pPr>
      <w:rPr>
        <w:rFonts w:ascii="Symbol" w:hAnsi="Symbol" w:hint="default"/>
      </w:rPr>
    </w:lvl>
    <w:lvl w:ilvl="4" w:tplc="52225B2A" w:tentative="1">
      <w:start w:val="1"/>
      <w:numFmt w:val="bullet"/>
      <w:lvlText w:val="o"/>
      <w:lvlJc w:val="left"/>
      <w:pPr>
        <w:ind w:left="3600" w:hanging="360"/>
      </w:pPr>
      <w:rPr>
        <w:rFonts w:ascii="Courier New" w:hAnsi="Courier New" w:cs="Courier New" w:hint="default"/>
      </w:rPr>
    </w:lvl>
    <w:lvl w:ilvl="5" w:tplc="AE6E2478" w:tentative="1">
      <w:start w:val="1"/>
      <w:numFmt w:val="bullet"/>
      <w:lvlText w:val=""/>
      <w:lvlJc w:val="left"/>
      <w:pPr>
        <w:ind w:left="4320" w:hanging="360"/>
      </w:pPr>
      <w:rPr>
        <w:rFonts w:ascii="Wingdings" w:hAnsi="Wingdings" w:hint="default"/>
      </w:rPr>
    </w:lvl>
    <w:lvl w:ilvl="6" w:tplc="510CAFA4" w:tentative="1">
      <w:start w:val="1"/>
      <w:numFmt w:val="bullet"/>
      <w:lvlText w:val=""/>
      <w:lvlJc w:val="left"/>
      <w:pPr>
        <w:ind w:left="5040" w:hanging="360"/>
      </w:pPr>
      <w:rPr>
        <w:rFonts w:ascii="Symbol" w:hAnsi="Symbol" w:hint="default"/>
      </w:rPr>
    </w:lvl>
    <w:lvl w:ilvl="7" w:tplc="C03E893E" w:tentative="1">
      <w:start w:val="1"/>
      <w:numFmt w:val="bullet"/>
      <w:lvlText w:val="o"/>
      <w:lvlJc w:val="left"/>
      <w:pPr>
        <w:ind w:left="5760" w:hanging="360"/>
      </w:pPr>
      <w:rPr>
        <w:rFonts w:ascii="Courier New" w:hAnsi="Courier New" w:cs="Courier New" w:hint="default"/>
      </w:rPr>
    </w:lvl>
    <w:lvl w:ilvl="8" w:tplc="771A8FF4" w:tentative="1">
      <w:start w:val="1"/>
      <w:numFmt w:val="bullet"/>
      <w:lvlText w:val=""/>
      <w:lvlJc w:val="left"/>
      <w:pPr>
        <w:ind w:left="6480" w:hanging="360"/>
      </w:pPr>
      <w:rPr>
        <w:rFonts w:ascii="Wingdings" w:hAnsi="Wingdings" w:hint="default"/>
      </w:rPr>
    </w:lvl>
  </w:abstractNum>
  <w:abstractNum w:abstractNumId="5" w15:restartNumberingAfterBreak="0">
    <w:nsid w:val="3952390F"/>
    <w:multiLevelType w:val="hybridMultilevel"/>
    <w:tmpl w:val="4210E60A"/>
    <w:lvl w:ilvl="0" w:tplc="1D743230">
      <w:start w:val="1"/>
      <w:numFmt w:val="bullet"/>
      <w:lvlText w:val=""/>
      <w:lvlJc w:val="left"/>
      <w:pPr>
        <w:tabs>
          <w:tab w:val="num" w:pos="780"/>
        </w:tabs>
        <w:ind w:left="780" w:hanging="360"/>
      </w:pPr>
      <w:rPr>
        <w:rFonts w:ascii="Symbol" w:hAnsi="Symbol" w:hint="default"/>
      </w:rPr>
    </w:lvl>
    <w:lvl w:ilvl="1" w:tplc="E4B237E6" w:tentative="1">
      <w:start w:val="1"/>
      <w:numFmt w:val="bullet"/>
      <w:lvlText w:val="o"/>
      <w:lvlJc w:val="left"/>
      <w:pPr>
        <w:ind w:left="1500" w:hanging="360"/>
      </w:pPr>
      <w:rPr>
        <w:rFonts w:ascii="Courier New" w:hAnsi="Courier New" w:cs="Courier New" w:hint="default"/>
      </w:rPr>
    </w:lvl>
    <w:lvl w:ilvl="2" w:tplc="F2960204" w:tentative="1">
      <w:start w:val="1"/>
      <w:numFmt w:val="bullet"/>
      <w:lvlText w:val=""/>
      <w:lvlJc w:val="left"/>
      <w:pPr>
        <w:ind w:left="2220" w:hanging="360"/>
      </w:pPr>
      <w:rPr>
        <w:rFonts w:ascii="Wingdings" w:hAnsi="Wingdings" w:hint="default"/>
      </w:rPr>
    </w:lvl>
    <w:lvl w:ilvl="3" w:tplc="BEB0DAB8" w:tentative="1">
      <w:start w:val="1"/>
      <w:numFmt w:val="bullet"/>
      <w:lvlText w:val=""/>
      <w:lvlJc w:val="left"/>
      <w:pPr>
        <w:ind w:left="2940" w:hanging="360"/>
      </w:pPr>
      <w:rPr>
        <w:rFonts w:ascii="Symbol" w:hAnsi="Symbol" w:hint="default"/>
      </w:rPr>
    </w:lvl>
    <w:lvl w:ilvl="4" w:tplc="7E0615F4" w:tentative="1">
      <w:start w:val="1"/>
      <w:numFmt w:val="bullet"/>
      <w:lvlText w:val="o"/>
      <w:lvlJc w:val="left"/>
      <w:pPr>
        <w:ind w:left="3660" w:hanging="360"/>
      </w:pPr>
      <w:rPr>
        <w:rFonts w:ascii="Courier New" w:hAnsi="Courier New" w:cs="Courier New" w:hint="default"/>
      </w:rPr>
    </w:lvl>
    <w:lvl w:ilvl="5" w:tplc="80CC86D2" w:tentative="1">
      <w:start w:val="1"/>
      <w:numFmt w:val="bullet"/>
      <w:lvlText w:val=""/>
      <w:lvlJc w:val="left"/>
      <w:pPr>
        <w:ind w:left="4380" w:hanging="360"/>
      </w:pPr>
      <w:rPr>
        <w:rFonts w:ascii="Wingdings" w:hAnsi="Wingdings" w:hint="default"/>
      </w:rPr>
    </w:lvl>
    <w:lvl w:ilvl="6" w:tplc="ADE47F32" w:tentative="1">
      <w:start w:val="1"/>
      <w:numFmt w:val="bullet"/>
      <w:lvlText w:val=""/>
      <w:lvlJc w:val="left"/>
      <w:pPr>
        <w:ind w:left="5100" w:hanging="360"/>
      </w:pPr>
      <w:rPr>
        <w:rFonts w:ascii="Symbol" w:hAnsi="Symbol" w:hint="default"/>
      </w:rPr>
    </w:lvl>
    <w:lvl w:ilvl="7" w:tplc="3E907F90" w:tentative="1">
      <w:start w:val="1"/>
      <w:numFmt w:val="bullet"/>
      <w:lvlText w:val="o"/>
      <w:lvlJc w:val="left"/>
      <w:pPr>
        <w:ind w:left="5820" w:hanging="360"/>
      </w:pPr>
      <w:rPr>
        <w:rFonts w:ascii="Courier New" w:hAnsi="Courier New" w:cs="Courier New" w:hint="default"/>
      </w:rPr>
    </w:lvl>
    <w:lvl w:ilvl="8" w:tplc="3F46EDF4" w:tentative="1">
      <w:start w:val="1"/>
      <w:numFmt w:val="bullet"/>
      <w:lvlText w:val=""/>
      <w:lvlJc w:val="left"/>
      <w:pPr>
        <w:ind w:left="6540" w:hanging="360"/>
      </w:pPr>
      <w:rPr>
        <w:rFonts w:ascii="Wingdings" w:hAnsi="Wingdings" w:hint="default"/>
      </w:rPr>
    </w:lvl>
  </w:abstractNum>
  <w:abstractNum w:abstractNumId="6" w15:restartNumberingAfterBreak="0">
    <w:nsid w:val="4F0E0899"/>
    <w:multiLevelType w:val="hybridMultilevel"/>
    <w:tmpl w:val="F48C4286"/>
    <w:lvl w:ilvl="0" w:tplc="667E9018">
      <w:start w:val="1"/>
      <w:numFmt w:val="bullet"/>
      <w:lvlText w:val=""/>
      <w:lvlJc w:val="left"/>
      <w:pPr>
        <w:tabs>
          <w:tab w:val="num" w:pos="720"/>
        </w:tabs>
        <w:ind w:left="720" w:hanging="360"/>
      </w:pPr>
      <w:rPr>
        <w:rFonts w:ascii="Symbol" w:hAnsi="Symbol" w:hint="default"/>
      </w:rPr>
    </w:lvl>
    <w:lvl w:ilvl="1" w:tplc="87F68734" w:tentative="1">
      <w:start w:val="1"/>
      <w:numFmt w:val="bullet"/>
      <w:lvlText w:val="o"/>
      <w:lvlJc w:val="left"/>
      <w:pPr>
        <w:ind w:left="1440" w:hanging="360"/>
      </w:pPr>
      <w:rPr>
        <w:rFonts w:ascii="Courier New" w:hAnsi="Courier New" w:cs="Courier New" w:hint="default"/>
      </w:rPr>
    </w:lvl>
    <w:lvl w:ilvl="2" w:tplc="67083D3C" w:tentative="1">
      <w:start w:val="1"/>
      <w:numFmt w:val="bullet"/>
      <w:lvlText w:val=""/>
      <w:lvlJc w:val="left"/>
      <w:pPr>
        <w:ind w:left="2160" w:hanging="360"/>
      </w:pPr>
      <w:rPr>
        <w:rFonts w:ascii="Wingdings" w:hAnsi="Wingdings" w:hint="default"/>
      </w:rPr>
    </w:lvl>
    <w:lvl w:ilvl="3" w:tplc="778A5F1C" w:tentative="1">
      <w:start w:val="1"/>
      <w:numFmt w:val="bullet"/>
      <w:lvlText w:val=""/>
      <w:lvlJc w:val="left"/>
      <w:pPr>
        <w:ind w:left="2880" w:hanging="360"/>
      </w:pPr>
      <w:rPr>
        <w:rFonts w:ascii="Symbol" w:hAnsi="Symbol" w:hint="default"/>
      </w:rPr>
    </w:lvl>
    <w:lvl w:ilvl="4" w:tplc="0A7EC722" w:tentative="1">
      <w:start w:val="1"/>
      <w:numFmt w:val="bullet"/>
      <w:lvlText w:val="o"/>
      <w:lvlJc w:val="left"/>
      <w:pPr>
        <w:ind w:left="3600" w:hanging="360"/>
      </w:pPr>
      <w:rPr>
        <w:rFonts w:ascii="Courier New" w:hAnsi="Courier New" w:cs="Courier New" w:hint="default"/>
      </w:rPr>
    </w:lvl>
    <w:lvl w:ilvl="5" w:tplc="DB9A1B14" w:tentative="1">
      <w:start w:val="1"/>
      <w:numFmt w:val="bullet"/>
      <w:lvlText w:val=""/>
      <w:lvlJc w:val="left"/>
      <w:pPr>
        <w:ind w:left="4320" w:hanging="360"/>
      </w:pPr>
      <w:rPr>
        <w:rFonts w:ascii="Wingdings" w:hAnsi="Wingdings" w:hint="default"/>
      </w:rPr>
    </w:lvl>
    <w:lvl w:ilvl="6" w:tplc="2ABAAEF4" w:tentative="1">
      <w:start w:val="1"/>
      <w:numFmt w:val="bullet"/>
      <w:lvlText w:val=""/>
      <w:lvlJc w:val="left"/>
      <w:pPr>
        <w:ind w:left="5040" w:hanging="360"/>
      </w:pPr>
      <w:rPr>
        <w:rFonts w:ascii="Symbol" w:hAnsi="Symbol" w:hint="default"/>
      </w:rPr>
    </w:lvl>
    <w:lvl w:ilvl="7" w:tplc="4A68E15C" w:tentative="1">
      <w:start w:val="1"/>
      <w:numFmt w:val="bullet"/>
      <w:lvlText w:val="o"/>
      <w:lvlJc w:val="left"/>
      <w:pPr>
        <w:ind w:left="5760" w:hanging="360"/>
      </w:pPr>
      <w:rPr>
        <w:rFonts w:ascii="Courier New" w:hAnsi="Courier New" w:cs="Courier New" w:hint="default"/>
      </w:rPr>
    </w:lvl>
    <w:lvl w:ilvl="8" w:tplc="0FCA1744" w:tentative="1">
      <w:start w:val="1"/>
      <w:numFmt w:val="bullet"/>
      <w:lvlText w:val=""/>
      <w:lvlJc w:val="left"/>
      <w:pPr>
        <w:ind w:left="6480" w:hanging="360"/>
      </w:pPr>
      <w:rPr>
        <w:rFonts w:ascii="Wingdings" w:hAnsi="Wingdings" w:hint="default"/>
      </w:rPr>
    </w:lvl>
  </w:abstractNum>
  <w:abstractNum w:abstractNumId="7" w15:restartNumberingAfterBreak="0">
    <w:nsid w:val="4F9D0951"/>
    <w:multiLevelType w:val="hybridMultilevel"/>
    <w:tmpl w:val="37A03D38"/>
    <w:lvl w:ilvl="0" w:tplc="720A621C">
      <w:start w:val="1"/>
      <w:numFmt w:val="bullet"/>
      <w:lvlText w:val=""/>
      <w:lvlJc w:val="left"/>
      <w:pPr>
        <w:tabs>
          <w:tab w:val="num" w:pos="720"/>
        </w:tabs>
        <w:ind w:left="720" w:hanging="360"/>
      </w:pPr>
      <w:rPr>
        <w:rFonts w:ascii="Symbol" w:hAnsi="Symbol" w:hint="default"/>
      </w:rPr>
    </w:lvl>
    <w:lvl w:ilvl="1" w:tplc="2D5EC8B4" w:tentative="1">
      <w:start w:val="1"/>
      <w:numFmt w:val="bullet"/>
      <w:lvlText w:val="o"/>
      <w:lvlJc w:val="left"/>
      <w:pPr>
        <w:ind w:left="1440" w:hanging="360"/>
      </w:pPr>
      <w:rPr>
        <w:rFonts w:ascii="Courier New" w:hAnsi="Courier New" w:cs="Courier New" w:hint="default"/>
      </w:rPr>
    </w:lvl>
    <w:lvl w:ilvl="2" w:tplc="357AEA22" w:tentative="1">
      <w:start w:val="1"/>
      <w:numFmt w:val="bullet"/>
      <w:lvlText w:val=""/>
      <w:lvlJc w:val="left"/>
      <w:pPr>
        <w:ind w:left="2160" w:hanging="360"/>
      </w:pPr>
      <w:rPr>
        <w:rFonts w:ascii="Wingdings" w:hAnsi="Wingdings" w:hint="default"/>
      </w:rPr>
    </w:lvl>
    <w:lvl w:ilvl="3" w:tplc="D1344078" w:tentative="1">
      <w:start w:val="1"/>
      <w:numFmt w:val="bullet"/>
      <w:lvlText w:val=""/>
      <w:lvlJc w:val="left"/>
      <w:pPr>
        <w:ind w:left="2880" w:hanging="360"/>
      </w:pPr>
      <w:rPr>
        <w:rFonts w:ascii="Symbol" w:hAnsi="Symbol" w:hint="default"/>
      </w:rPr>
    </w:lvl>
    <w:lvl w:ilvl="4" w:tplc="B3484500" w:tentative="1">
      <w:start w:val="1"/>
      <w:numFmt w:val="bullet"/>
      <w:lvlText w:val="o"/>
      <w:lvlJc w:val="left"/>
      <w:pPr>
        <w:ind w:left="3600" w:hanging="360"/>
      </w:pPr>
      <w:rPr>
        <w:rFonts w:ascii="Courier New" w:hAnsi="Courier New" w:cs="Courier New" w:hint="default"/>
      </w:rPr>
    </w:lvl>
    <w:lvl w:ilvl="5" w:tplc="9CE204A6" w:tentative="1">
      <w:start w:val="1"/>
      <w:numFmt w:val="bullet"/>
      <w:lvlText w:val=""/>
      <w:lvlJc w:val="left"/>
      <w:pPr>
        <w:ind w:left="4320" w:hanging="360"/>
      </w:pPr>
      <w:rPr>
        <w:rFonts w:ascii="Wingdings" w:hAnsi="Wingdings" w:hint="default"/>
      </w:rPr>
    </w:lvl>
    <w:lvl w:ilvl="6" w:tplc="8BE8AA06" w:tentative="1">
      <w:start w:val="1"/>
      <w:numFmt w:val="bullet"/>
      <w:lvlText w:val=""/>
      <w:lvlJc w:val="left"/>
      <w:pPr>
        <w:ind w:left="5040" w:hanging="360"/>
      </w:pPr>
      <w:rPr>
        <w:rFonts w:ascii="Symbol" w:hAnsi="Symbol" w:hint="default"/>
      </w:rPr>
    </w:lvl>
    <w:lvl w:ilvl="7" w:tplc="3E5E0B5A" w:tentative="1">
      <w:start w:val="1"/>
      <w:numFmt w:val="bullet"/>
      <w:lvlText w:val="o"/>
      <w:lvlJc w:val="left"/>
      <w:pPr>
        <w:ind w:left="5760" w:hanging="360"/>
      </w:pPr>
      <w:rPr>
        <w:rFonts w:ascii="Courier New" w:hAnsi="Courier New" w:cs="Courier New" w:hint="default"/>
      </w:rPr>
    </w:lvl>
    <w:lvl w:ilvl="8" w:tplc="F014B4EA" w:tentative="1">
      <w:start w:val="1"/>
      <w:numFmt w:val="bullet"/>
      <w:lvlText w:val=""/>
      <w:lvlJc w:val="left"/>
      <w:pPr>
        <w:ind w:left="6480" w:hanging="360"/>
      </w:pPr>
      <w:rPr>
        <w:rFonts w:ascii="Wingdings" w:hAnsi="Wingdings" w:hint="default"/>
      </w:rPr>
    </w:lvl>
  </w:abstractNum>
  <w:abstractNum w:abstractNumId="8" w15:restartNumberingAfterBreak="0">
    <w:nsid w:val="545766C4"/>
    <w:multiLevelType w:val="hybridMultilevel"/>
    <w:tmpl w:val="95067B22"/>
    <w:lvl w:ilvl="0" w:tplc="C5500F78">
      <w:start w:val="1"/>
      <w:numFmt w:val="bullet"/>
      <w:lvlText w:val=""/>
      <w:lvlJc w:val="left"/>
      <w:pPr>
        <w:tabs>
          <w:tab w:val="num" w:pos="720"/>
        </w:tabs>
        <w:ind w:left="720" w:hanging="360"/>
      </w:pPr>
      <w:rPr>
        <w:rFonts w:ascii="Symbol" w:hAnsi="Symbol" w:hint="default"/>
      </w:rPr>
    </w:lvl>
    <w:lvl w:ilvl="1" w:tplc="F0A20F96" w:tentative="1">
      <w:start w:val="1"/>
      <w:numFmt w:val="bullet"/>
      <w:lvlText w:val="o"/>
      <w:lvlJc w:val="left"/>
      <w:pPr>
        <w:ind w:left="1440" w:hanging="360"/>
      </w:pPr>
      <w:rPr>
        <w:rFonts w:ascii="Courier New" w:hAnsi="Courier New" w:cs="Courier New" w:hint="default"/>
      </w:rPr>
    </w:lvl>
    <w:lvl w:ilvl="2" w:tplc="5134B2BE" w:tentative="1">
      <w:start w:val="1"/>
      <w:numFmt w:val="bullet"/>
      <w:lvlText w:val=""/>
      <w:lvlJc w:val="left"/>
      <w:pPr>
        <w:ind w:left="2160" w:hanging="360"/>
      </w:pPr>
      <w:rPr>
        <w:rFonts w:ascii="Wingdings" w:hAnsi="Wingdings" w:hint="default"/>
      </w:rPr>
    </w:lvl>
    <w:lvl w:ilvl="3" w:tplc="B59C9CB4" w:tentative="1">
      <w:start w:val="1"/>
      <w:numFmt w:val="bullet"/>
      <w:lvlText w:val=""/>
      <w:lvlJc w:val="left"/>
      <w:pPr>
        <w:ind w:left="2880" w:hanging="360"/>
      </w:pPr>
      <w:rPr>
        <w:rFonts w:ascii="Symbol" w:hAnsi="Symbol" w:hint="default"/>
      </w:rPr>
    </w:lvl>
    <w:lvl w:ilvl="4" w:tplc="26A6FE84" w:tentative="1">
      <w:start w:val="1"/>
      <w:numFmt w:val="bullet"/>
      <w:lvlText w:val="o"/>
      <w:lvlJc w:val="left"/>
      <w:pPr>
        <w:ind w:left="3600" w:hanging="360"/>
      </w:pPr>
      <w:rPr>
        <w:rFonts w:ascii="Courier New" w:hAnsi="Courier New" w:cs="Courier New" w:hint="default"/>
      </w:rPr>
    </w:lvl>
    <w:lvl w:ilvl="5" w:tplc="D9AE98B6" w:tentative="1">
      <w:start w:val="1"/>
      <w:numFmt w:val="bullet"/>
      <w:lvlText w:val=""/>
      <w:lvlJc w:val="left"/>
      <w:pPr>
        <w:ind w:left="4320" w:hanging="360"/>
      </w:pPr>
      <w:rPr>
        <w:rFonts w:ascii="Wingdings" w:hAnsi="Wingdings" w:hint="default"/>
      </w:rPr>
    </w:lvl>
    <w:lvl w:ilvl="6" w:tplc="1B969BEA" w:tentative="1">
      <w:start w:val="1"/>
      <w:numFmt w:val="bullet"/>
      <w:lvlText w:val=""/>
      <w:lvlJc w:val="left"/>
      <w:pPr>
        <w:ind w:left="5040" w:hanging="360"/>
      </w:pPr>
      <w:rPr>
        <w:rFonts w:ascii="Symbol" w:hAnsi="Symbol" w:hint="default"/>
      </w:rPr>
    </w:lvl>
    <w:lvl w:ilvl="7" w:tplc="E9169196" w:tentative="1">
      <w:start w:val="1"/>
      <w:numFmt w:val="bullet"/>
      <w:lvlText w:val="o"/>
      <w:lvlJc w:val="left"/>
      <w:pPr>
        <w:ind w:left="5760" w:hanging="360"/>
      </w:pPr>
      <w:rPr>
        <w:rFonts w:ascii="Courier New" w:hAnsi="Courier New" w:cs="Courier New" w:hint="default"/>
      </w:rPr>
    </w:lvl>
    <w:lvl w:ilvl="8" w:tplc="A43E698C"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9F"/>
    <w:rsid w:val="00304C9F"/>
    <w:rsid w:val="00D0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6AC446-7992-4023-90DB-876941B1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50DB1"/>
    <w:rPr>
      <w:sz w:val="16"/>
      <w:szCs w:val="16"/>
    </w:rPr>
  </w:style>
  <w:style w:type="paragraph" w:styleId="CommentText">
    <w:name w:val="annotation text"/>
    <w:basedOn w:val="Normal"/>
    <w:link w:val="CommentTextChar"/>
    <w:unhideWhenUsed/>
    <w:rsid w:val="00D50DB1"/>
    <w:rPr>
      <w:sz w:val="20"/>
      <w:szCs w:val="20"/>
    </w:rPr>
  </w:style>
  <w:style w:type="character" w:customStyle="1" w:styleId="CommentTextChar">
    <w:name w:val="Comment Text Char"/>
    <w:basedOn w:val="DefaultParagraphFont"/>
    <w:link w:val="CommentText"/>
    <w:rsid w:val="00D50DB1"/>
  </w:style>
  <w:style w:type="paragraph" w:styleId="CommentSubject">
    <w:name w:val="annotation subject"/>
    <w:basedOn w:val="CommentText"/>
    <w:next w:val="CommentText"/>
    <w:link w:val="CommentSubjectChar"/>
    <w:semiHidden/>
    <w:unhideWhenUsed/>
    <w:rsid w:val="00D50DB1"/>
    <w:rPr>
      <w:b/>
      <w:bCs/>
    </w:rPr>
  </w:style>
  <w:style w:type="character" w:customStyle="1" w:styleId="CommentSubjectChar">
    <w:name w:val="Comment Subject Char"/>
    <w:basedOn w:val="CommentTextChar"/>
    <w:link w:val="CommentSubject"/>
    <w:semiHidden/>
    <w:rsid w:val="00D50DB1"/>
    <w:rPr>
      <w:b/>
      <w:bCs/>
    </w:rPr>
  </w:style>
  <w:style w:type="paragraph" w:styleId="ListParagraph">
    <w:name w:val="List Paragraph"/>
    <w:basedOn w:val="Normal"/>
    <w:uiPriority w:val="34"/>
    <w:qFormat/>
    <w:rsid w:val="0009743F"/>
    <w:pPr>
      <w:ind w:left="720"/>
      <w:contextualSpacing/>
    </w:pPr>
  </w:style>
  <w:style w:type="paragraph" w:styleId="Revision">
    <w:name w:val="Revision"/>
    <w:hidden/>
    <w:uiPriority w:val="99"/>
    <w:semiHidden/>
    <w:rsid w:val="00E70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7270</Characters>
  <Application>Microsoft Office Word</Application>
  <DocSecurity>4</DocSecurity>
  <Lines>156</Lines>
  <Paragraphs>53</Paragraphs>
  <ScaleCrop>false</ScaleCrop>
  <HeadingPairs>
    <vt:vector size="2" baseType="variant">
      <vt:variant>
        <vt:lpstr>Title</vt:lpstr>
      </vt:variant>
      <vt:variant>
        <vt:i4>1</vt:i4>
      </vt:variant>
    </vt:vector>
  </HeadingPairs>
  <TitlesOfParts>
    <vt:vector size="1" baseType="lpstr">
      <vt:lpstr>BA - SB02119 (Committee Report (Substituted))</vt:lpstr>
    </vt:vector>
  </TitlesOfParts>
  <Company>State of Texas</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33291</dc:subject>
  <dc:creator>State of Texas</dc:creator>
  <dc:description>SB 2119 by Alvarado-(H)International Relations &amp; Economic Development (Substitute Document Number: 86R 28659)</dc:description>
  <cp:lastModifiedBy>Damian Duarte</cp:lastModifiedBy>
  <cp:revision>2</cp:revision>
  <cp:lastPrinted>2003-11-26T17:21:00Z</cp:lastPrinted>
  <dcterms:created xsi:type="dcterms:W3CDTF">2019-05-10T00:40:00Z</dcterms:created>
  <dcterms:modified xsi:type="dcterms:W3CDTF">2019-05-10T00:40:00Z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19.129.805</vt:lpwstr>
  </property>
</Properties>
</file>