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61102" w:rsidTr="00345119">
        <w:tc>
          <w:tcPr>
            <w:tcW w:w="9576" w:type="dxa"/>
            <w:noWrap/>
          </w:tcPr>
          <w:p w:rsidR="008423E4" w:rsidRPr="0022177D" w:rsidRDefault="00D206A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206AE" w:rsidP="008423E4">
      <w:pPr>
        <w:jc w:val="center"/>
      </w:pPr>
    </w:p>
    <w:p w:rsidR="008423E4" w:rsidRPr="00B31F0E" w:rsidRDefault="00D206AE" w:rsidP="008423E4"/>
    <w:p w:rsidR="008423E4" w:rsidRPr="00742794" w:rsidRDefault="00D206A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61102" w:rsidTr="00345119">
        <w:tc>
          <w:tcPr>
            <w:tcW w:w="9576" w:type="dxa"/>
          </w:tcPr>
          <w:p w:rsidR="008423E4" w:rsidRPr="00861995" w:rsidRDefault="00D206AE" w:rsidP="00345119">
            <w:pPr>
              <w:jc w:val="right"/>
            </w:pPr>
            <w:r>
              <w:t>S.B. 2136</w:t>
            </w:r>
          </w:p>
        </w:tc>
      </w:tr>
      <w:tr w:rsidR="00161102" w:rsidTr="00345119">
        <w:tc>
          <w:tcPr>
            <w:tcW w:w="9576" w:type="dxa"/>
          </w:tcPr>
          <w:p w:rsidR="008423E4" w:rsidRPr="00861995" w:rsidRDefault="00D206AE" w:rsidP="00345119">
            <w:pPr>
              <w:jc w:val="right"/>
            </w:pPr>
            <w:r>
              <w:t xml:space="preserve">By: </w:t>
            </w:r>
            <w:r>
              <w:t>Powell</w:t>
            </w:r>
          </w:p>
        </w:tc>
      </w:tr>
      <w:tr w:rsidR="00161102" w:rsidTr="00345119">
        <w:tc>
          <w:tcPr>
            <w:tcW w:w="9576" w:type="dxa"/>
          </w:tcPr>
          <w:p w:rsidR="008423E4" w:rsidRPr="00861995" w:rsidRDefault="00D206AE" w:rsidP="00345119">
            <w:pPr>
              <w:jc w:val="right"/>
            </w:pPr>
            <w:r>
              <w:t>Criminal Jurisprudence</w:t>
            </w:r>
          </w:p>
        </w:tc>
      </w:tr>
      <w:tr w:rsidR="00161102" w:rsidTr="00345119">
        <w:tc>
          <w:tcPr>
            <w:tcW w:w="9576" w:type="dxa"/>
          </w:tcPr>
          <w:p w:rsidR="008423E4" w:rsidRDefault="00D206A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206AE" w:rsidP="008423E4">
      <w:pPr>
        <w:tabs>
          <w:tab w:val="right" w:pos="9360"/>
        </w:tabs>
      </w:pPr>
    </w:p>
    <w:p w:rsidR="008423E4" w:rsidRDefault="00D206AE" w:rsidP="008423E4"/>
    <w:p w:rsidR="008423E4" w:rsidRDefault="00D206A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61102" w:rsidTr="00345119">
        <w:tc>
          <w:tcPr>
            <w:tcW w:w="9576" w:type="dxa"/>
          </w:tcPr>
          <w:p w:rsidR="008423E4" w:rsidRPr="00A8133F" w:rsidRDefault="00D206AE" w:rsidP="003430F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206AE" w:rsidP="003430FD"/>
          <w:p w:rsidR="008423E4" w:rsidRDefault="00D206AE" w:rsidP="003430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acts of violence can occur </w:t>
            </w:r>
            <w:r>
              <w:t xml:space="preserve">during </w:t>
            </w:r>
            <w:r>
              <w:t xml:space="preserve">the commission of many criminal offenses, some of which are not </w:t>
            </w:r>
            <w:r>
              <w:t xml:space="preserve">covered </w:t>
            </w:r>
            <w:r>
              <w:t xml:space="preserve">by </w:t>
            </w:r>
            <w:r>
              <w:t>state law</w:t>
            </w:r>
            <w:r>
              <w:t xml:space="preserve"> </w:t>
            </w:r>
            <w:r>
              <w:t xml:space="preserve">providing </w:t>
            </w:r>
            <w:r>
              <w:t xml:space="preserve">for the </w:t>
            </w:r>
            <w:r>
              <w:t>admissibility of evidence i</w:t>
            </w:r>
            <w:r>
              <w:t>n the prosecution of an offense</w:t>
            </w:r>
            <w:r>
              <w:t xml:space="preserve"> committed</w:t>
            </w:r>
            <w:r>
              <w:t xml:space="preserve"> against a member of the defendant's family or household or a person in a dating relationship with the defendant. As such, there have been calls to broaden th</w:t>
            </w:r>
            <w:r>
              <w:t>at</w:t>
            </w:r>
            <w:r>
              <w:t xml:space="preserve"> law and allow prosecutors to introduce any testimony and related evidence </w:t>
            </w:r>
            <w:r>
              <w:t>regarding the nature of the relationship between a defendant and the alleged victim in the prosecution of any offense</w:t>
            </w:r>
            <w:r>
              <w:t xml:space="preserve"> </w:t>
            </w:r>
            <w:r>
              <w:t xml:space="preserve">committed </w:t>
            </w:r>
            <w:r>
              <w:t>against such a similarly situated person</w:t>
            </w:r>
            <w:r>
              <w:t xml:space="preserve">. </w:t>
            </w:r>
            <w:r>
              <w:t>S.B. 2136</w:t>
            </w:r>
            <w:r>
              <w:t xml:space="preserve"> </w:t>
            </w:r>
            <w:r>
              <w:t>s</w:t>
            </w:r>
            <w:r>
              <w:t>eeks to address these calls by expanding</w:t>
            </w:r>
            <w:r>
              <w:t xml:space="preserve"> the applicability of</w:t>
            </w:r>
            <w:r>
              <w:t xml:space="preserve"> that law.</w:t>
            </w:r>
          </w:p>
          <w:p w:rsidR="008423E4" w:rsidRPr="00E26B13" w:rsidRDefault="00D206AE" w:rsidP="003430FD">
            <w:pPr>
              <w:rPr>
                <w:b/>
              </w:rPr>
            </w:pPr>
          </w:p>
        </w:tc>
      </w:tr>
      <w:tr w:rsidR="00161102" w:rsidTr="00345119">
        <w:tc>
          <w:tcPr>
            <w:tcW w:w="9576" w:type="dxa"/>
          </w:tcPr>
          <w:p w:rsidR="0017725B" w:rsidRDefault="00D206AE" w:rsidP="003430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206AE" w:rsidP="003430FD">
            <w:pPr>
              <w:rPr>
                <w:b/>
                <w:u w:val="single"/>
              </w:rPr>
            </w:pPr>
          </w:p>
          <w:p w:rsidR="005511C8" w:rsidRPr="005511C8" w:rsidRDefault="00D206AE" w:rsidP="003430FD">
            <w:pPr>
              <w:jc w:val="both"/>
            </w:pPr>
            <w:r>
              <w:t>It is the committee's opinion that this bill does not expressly create a criminal offense, increase the punishment for an existing criminal offense or catego</w:t>
            </w:r>
            <w:r>
              <w:t>ry of offenses, or change the eligibility of a person for community supervision, parole, or mandatory supervision.</w:t>
            </w:r>
          </w:p>
          <w:p w:rsidR="0017725B" w:rsidRPr="0017725B" w:rsidRDefault="00D206AE" w:rsidP="003430FD">
            <w:pPr>
              <w:rPr>
                <w:b/>
                <w:u w:val="single"/>
              </w:rPr>
            </w:pPr>
          </w:p>
        </w:tc>
      </w:tr>
      <w:tr w:rsidR="00161102" w:rsidTr="00345119">
        <w:tc>
          <w:tcPr>
            <w:tcW w:w="9576" w:type="dxa"/>
          </w:tcPr>
          <w:p w:rsidR="008423E4" w:rsidRPr="00A8133F" w:rsidRDefault="00D206AE" w:rsidP="003430F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206AE" w:rsidP="003430FD"/>
          <w:p w:rsidR="005511C8" w:rsidRDefault="00D206AE" w:rsidP="003430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</w:t>
            </w:r>
            <w:r>
              <w:t xml:space="preserve"> officer, department, agency, or institution.</w:t>
            </w:r>
          </w:p>
          <w:p w:rsidR="008423E4" w:rsidRPr="00E21FDC" w:rsidRDefault="00D206AE" w:rsidP="003430FD">
            <w:pPr>
              <w:rPr>
                <w:b/>
              </w:rPr>
            </w:pPr>
          </w:p>
        </w:tc>
      </w:tr>
      <w:tr w:rsidR="00161102" w:rsidTr="00345119">
        <w:tc>
          <w:tcPr>
            <w:tcW w:w="9576" w:type="dxa"/>
          </w:tcPr>
          <w:p w:rsidR="008423E4" w:rsidRPr="00A8133F" w:rsidRDefault="00D206AE" w:rsidP="003430F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206AE" w:rsidP="003430FD"/>
          <w:p w:rsidR="008423E4" w:rsidRDefault="00D206AE" w:rsidP="003430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2136 amends the Code of Criminal Procedure</w:t>
            </w:r>
            <w:r>
              <w:t xml:space="preserve"> to </w:t>
            </w:r>
            <w:r>
              <w:t>expand</w:t>
            </w:r>
            <w:r>
              <w:t xml:space="preserve"> the applicability of statutory provisions relating to the admissibility of evidence in a criminal proce</w:t>
            </w:r>
            <w:r>
              <w:t xml:space="preserve">eding </w:t>
            </w:r>
            <w:r>
              <w:t xml:space="preserve">in the prosecution of a </w:t>
            </w:r>
            <w:r>
              <w:t>defendant for certain offenses</w:t>
            </w:r>
            <w:r>
              <w:t xml:space="preserve"> </w:t>
            </w:r>
            <w:r>
              <w:t xml:space="preserve">involving family violence </w:t>
            </w:r>
            <w:r>
              <w:t xml:space="preserve">or dating violence </w:t>
            </w:r>
            <w:r>
              <w:t xml:space="preserve">or an attempt or conspiracy to commit those offenses </w:t>
            </w:r>
            <w:r>
              <w:t xml:space="preserve">by </w:t>
            </w:r>
            <w:r>
              <w:t>including</w:t>
            </w:r>
            <w:r>
              <w:t xml:space="preserve"> </w:t>
            </w:r>
            <w:r>
              <w:t xml:space="preserve">a criminal proceeding in a prosecution for any offense </w:t>
            </w:r>
            <w:r>
              <w:t xml:space="preserve">or attempt or conspiracy to commit any offense </w:t>
            </w:r>
            <w:r>
              <w:t>for which th</w:t>
            </w:r>
            <w:r>
              <w:t>e alleged victim is a member of the defendant's family or household or person in a dating relationship with the defendant</w:t>
            </w:r>
            <w:r>
              <w:t xml:space="preserve">. </w:t>
            </w:r>
          </w:p>
          <w:p w:rsidR="008423E4" w:rsidRPr="00835628" w:rsidRDefault="00D206AE" w:rsidP="003430FD">
            <w:pPr>
              <w:rPr>
                <w:b/>
              </w:rPr>
            </w:pPr>
          </w:p>
        </w:tc>
      </w:tr>
      <w:tr w:rsidR="00161102" w:rsidTr="00345119">
        <w:tc>
          <w:tcPr>
            <w:tcW w:w="9576" w:type="dxa"/>
          </w:tcPr>
          <w:p w:rsidR="008423E4" w:rsidRPr="00A8133F" w:rsidRDefault="00D206AE" w:rsidP="003430F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206AE" w:rsidP="003430FD"/>
          <w:p w:rsidR="008423E4" w:rsidRPr="003624F2" w:rsidRDefault="00D206AE" w:rsidP="003430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206AE" w:rsidP="003430FD">
            <w:pPr>
              <w:rPr>
                <w:b/>
              </w:rPr>
            </w:pPr>
          </w:p>
        </w:tc>
      </w:tr>
    </w:tbl>
    <w:p w:rsidR="008423E4" w:rsidRPr="00BE0E75" w:rsidRDefault="00D206A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206A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06AE">
      <w:r>
        <w:separator/>
      </w:r>
    </w:p>
  </w:endnote>
  <w:endnote w:type="continuationSeparator" w:id="0">
    <w:p w:rsidR="00000000" w:rsidRDefault="00D2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0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61102" w:rsidTr="009C1E9A">
      <w:trPr>
        <w:cantSplit/>
      </w:trPr>
      <w:tc>
        <w:tcPr>
          <w:tcW w:w="0" w:type="pct"/>
        </w:tcPr>
        <w:p w:rsidR="00137D90" w:rsidRDefault="00D206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206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206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206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206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1102" w:rsidTr="009C1E9A">
      <w:trPr>
        <w:cantSplit/>
      </w:trPr>
      <w:tc>
        <w:tcPr>
          <w:tcW w:w="0" w:type="pct"/>
        </w:tcPr>
        <w:p w:rsidR="00EC379B" w:rsidRDefault="00D206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206A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33904</w:t>
          </w:r>
        </w:p>
      </w:tc>
      <w:tc>
        <w:tcPr>
          <w:tcW w:w="2453" w:type="pct"/>
        </w:tcPr>
        <w:p w:rsidR="00EC379B" w:rsidRDefault="00D206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19.134.993</w:t>
          </w:r>
          <w:r>
            <w:fldChar w:fldCharType="end"/>
          </w:r>
        </w:p>
      </w:tc>
    </w:tr>
    <w:tr w:rsidR="00161102" w:rsidTr="009C1E9A">
      <w:trPr>
        <w:cantSplit/>
      </w:trPr>
      <w:tc>
        <w:tcPr>
          <w:tcW w:w="0" w:type="pct"/>
        </w:tcPr>
        <w:p w:rsidR="00EC379B" w:rsidRDefault="00D206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206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206AE" w:rsidP="006D504F">
          <w:pPr>
            <w:pStyle w:val="Footer"/>
            <w:rPr>
              <w:rStyle w:val="PageNumber"/>
            </w:rPr>
          </w:pPr>
        </w:p>
        <w:p w:rsidR="00EC379B" w:rsidRDefault="00D206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110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206A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206A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206A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0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06AE">
      <w:r>
        <w:separator/>
      </w:r>
    </w:p>
  </w:footnote>
  <w:footnote w:type="continuationSeparator" w:id="0">
    <w:p w:rsidR="00000000" w:rsidRDefault="00D2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0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0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0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97233"/>
    <w:multiLevelType w:val="hybridMultilevel"/>
    <w:tmpl w:val="A1D60662"/>
    <w:lvl w:ilvl="0" w:tplc="47EC9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1CB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708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22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AAF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F08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ED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6A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562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02"/>
    <w:rsid w:val="00161102"/>
    <w:rsid w:val="00D2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567BBA-A79B-49F5-9961-DDB3022A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511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1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1C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1C8"/>
    <w:rPr>
      <w:b/>
      <w:bCs/>
    </w:rPr>
  </w:style>
  <w:style w:type="paragraph" w:styleId="Revision">
    <w:name w:val="Revision"/>
    <w:hidden/>
    <w:uiPriority w:val="99"/>
    <w:semiHidden/>
    <w:rsid w:val="005511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1619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SB02136 (Committee Report (Unamended))</vt:lpstr>
    </vt:vector>
  </TitlesOfParts>
  <Company>State of Texas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33904</dc:subject>
  <dc:creator>State of Texas</dc:creator>
  <dc:description>SB 2136 by Powell-(H)Criminal Jurisprudence</dc:description>
  <cp:lastModifiedBy>Laura Ramsay</cp:lastModifiedBy>
  <cp:revision>2</cp:revision>
  <cp:lastPrinted>2003-11-26T17:21:00Z</cp:lastPrinted>
  <dcterms:created xsi:type="dcterms:W3CDTF">2019-05-15T23:53:00Z</dcterms:created>
  <dcterms:modified xsi:type="dcterms:W3CDTF">2019-05-15T23:53:00Z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19.134.993</vt:lpwstr>
  </property>
</Properties>
</file>