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07CE" w:rsidTr="00345119">
        <w:tc>
          <w:tcPr>
            <w:tcW w:w="9576" w:type="dxa"/>
            <w:noWrap/>
          </w:tcPr>
          <w:p w:rsidR="008423E4" w:rsidRPr="0022177D" w:rsidRDefault="004250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50E8" w:rsidP="008423E4">
      <w:pPr>
        <w:jc w:val="center"/>
      </w:pPr>
    </w:p>
    <w:p w:rsidR="008423E4" w:rsidRPr="00B31F0E" w:rsidRDefault="004250E8" w:rsidP="008423E4"/>
    <w:p w:rsidR="008423E4" w:rsidRPr="00E85D4F" w:rsidRDefault="004250E8" w:rsidP="008423E4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07CE" w:rsidTr="00345119">
        <w:tc>
          <w:tcPr>
            <w:tcW w:w="9576" w:type="dxa"/>
          </w:tcPr>
          <w:p w:rsidR="008423E4" w:rsidRPr="00861995" w:rsidRDefault="004250E8" w:rsidP="00345119">
            <w:pPr>
              <w:jc w:val="right"/>
            </w:pPr>
            <w:r>
              <w:t>C.S.S.B. 2194</w:t>
            </w:r>
          </w:p>
        </w:tc>
      </w:tr>
      <w:tr w:rsidR="003407CE" w:rsidTr="00345119">
        <w:tc>
          <w:tcPr>
            <w:tcW w:w="9576" w:type="dxa"/>
          </w:tcPr>
          <w:p w:rsidR="008423E4" w:rsidRPr="00861995" w:rsidRDefault="004250E8" w:rsidP="009A7211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3407CE" w:rsidTr="00345119">
        <w:tc>
          <w:tcPr>
            <w:tcW w:w="9576" w:type="dxa"/>
          </w:tcPr>
          <w:p w:rsidR="008423E4" w:rsidRPr="00861995" w:rsidRDefault="004250E8" w:rsidP="00345119">
            <w:pPr>
              <w:jc w:val="right"/>
            </w:pPr>
            <w:r>
              <w:t>Ways &amp; Means</w:t>
            </w:r>
          </w:p>
        </w:tc>
      </w:tr>
      <w:tr w:rsidR="003407CE" w:rsidTr="00345119">
        <w:tc>
          <w:tcPr>
            <w:tcW w:w="9576" w:type="dxa"/>
          </w:tcPr>
          <w:p w:rsidR="008423E4" w:rsidRDefault="004250E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Pr="00E85D4F" w:rsidRDefault="004250E8" w:rsidP="008423E4">
      <w:pPr>
        <w:tabs>
          <w:tab w:val="right" w:pos="9360"/>
        </w:tabs>
        <w:rPr>
          <w:sz w:val="22"/>
        </w:rPr>
      </w:pPr>
    </w:p>
    <w:p w:rsidR="008423E4" w:rsidRPr="00E85D4F" w:rsidRDefault="004250E8" w:rsidP="008423E4">
      <w:pPr>
        <w:rPr>
          <w:sz w:val="22"/>
        </w:rPr>
      </w:pPr>
    </w:p>
    <w:p w:rsidR="008423E4" w:rsidRPr="00E85D4F" w:rsidRDefault="004250E8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07CE" w:rsidTr="00345119">
        <w:tc>
          <w:tcPr>
            <w:tcW w:w="9576" w:type="dxa"/>
          </w:tcPr>
          <w:p w:rsidR="008423E4" w:rsidRPr="00A8133F" w:rsidRDefault="004250E8" w:rsidP="006B07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E85D4F" w:rsidRDefault="004250E8" w:rsidP="006B07AB">
            <w:pPr>
              <w:rPr>
                <w:sz w:val="22"/>
              </w:rPr>
            </w:pPr>
          </w:p>
          <w:p w:rsidR="008423E4" w:rsidRDefault="004250E8" w:rsidP="006B07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</w:t>
            </w:r>
            <w:r>
              <w:t>ertain municipalities in Texas are authorized to receive a rebate for state hotel occupancy taxes and state sales</w:t>
            </w:r>
            <w:r>
              <w:t xml:space="preserve"> taxes collected at certain convention center hotels</w:t>
            </w:r>
            <w:r>
              <w:t xml:space="preserve">, which may be </w:t>
            </w:r>
            <w:r>
              <w:t xml:space="preserve">used by a city to service the bonds or other obligations incurred for the construction of the project. </w:t>
            </w:r>
            <w:r>
              <w:t xml:space="preserve">It has been suggested </w:t>
            </w:r>
            <w:r>
              <w:t>that financing convention center hotels is challenging and a pub</w:t>
            </w:r>
            <w:r>
              <w:t xml:space="preserve">lic-private partnership is a valuable tool. Furthermore, convention center hotels </w:t>
            </w:r>
            <w:r>
              <w:t xml:space="preserve">may </w:t>
            </w:r>
            <w:r>
              <w:t>aid the state and local economies by attracting out-of-state conventions, meetings, and visitors to Texas</w:t>
            </w:r>
            <w:r>
              <w:t>,</w:t>
            </w:r>
            <w:r>
              <w:t xml:space="preserve"> in addition to assisting with local revitalization and developm</w:t>
            </w:r>
            <w:r>
              <w:t xml:space="preserve">ent efforts. </w:t>
            </w:r>
            <w:r>
              <w:t>There have been calls to ensure</w:t>
            </w:r>
            <w:r>
              <w:t xml:space="preserve"> an adequate supply of hotel rooms located near convention</w:t>
            </w:r>
            <w:r>
              <w:t xml:space="preserve"> centers</w:t>
            </w:r>
            <w:r>
              <w:t xml:space="preserve"> </w:t>
            </w:r>
            <w:r>
              <w:t>to make</w:t>
            </w:r>
            <w:r>
              <w:t xml:space="preserve"> Texas more competitive</w:t>
            </w:r>
            <w:r>
              <w:t xml:space="preserve"> in attracting </w:t>
            </w:r>
            <w:r>
              <w:t xml:space="preserve">these </w:t>
            </w:r>
            <w:r>
              <w:t>events</w:t>
            </w:r>
            <w:r>
              <w:t xml:space="preserve">. </w:t>
            </w:r>
            <w:r>
              <w:t>C.S.S.B. 2194</w:t>
            </w:r>
            <w:r>
              <w:t xml:space="preserve"> </w:t>
            </w:r>
            <w:r>
              <w:t>seeks to address this issue by</w:t>
            </w:r>
            <w:r>
              <w:t xml:space="preserve"> authoriz</w:t>
            </w:r>
            <w:r>
              <w:t>ing</w:t>
            </w:r>
            <w:r>
              <w:t xml:space="preserve"> certain </w:t>
            </w:r>
            <w:r>
              <w:t xml:space="preserve">municipalities </w:t>
            </w:r>
            <w:r>
              <w:t xml:space="preserve">to </w:t>
            </w:r>
            <w:r>
              <w:t>use</w:t>
            </w:r>
            <w:r>
              <w:t xml:space="preserve"> </w:t>
            </w:r>
            <w:r>
              <w:t xml:space="preserve">specified </w:t>
            </w:r>
            <w:r>
              <w:t>tax revenue for hotel and convention center projects and other qualified projects</w:t>
            </w:r>
            <w:r>
              <w:t>.</w:t>
            </w:r>
          </w:p>
          <w:p w:rsidR="008423E4" w:rsidRPr="00E26B13" w:rsidRDefault="004250E8" w:rsidP="006B07AB">
            <w:pPr>
              <w:rPr>
                <w:b/>
              </w:rPr>
            </w:pPr>
          </w:p>
        </w:tc>
      </w:tr>
      <w:tr w:rsidR="003407CE" w:rsidTr="00345119">
        <w:tc>
          <w:tcPr>
            <w:tcW w:w="9576" w:type="dxa"/>
          </w:tcPr>
          <w:p w:rsidR="0017725B" w:rsidRDefault="004250E8" w:rsidP="006B07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E85D4F" w:rsidRDefault="004250E8" w:rsidP="006B07AB">
            <w:pPr>
              <w:rPr>
                <w:b/>
                <w:sz w:val="22"/>
                <w:u w:val="single"/>
              </w:rPr>
            </w:pPr>
          </w:p>
          <w:p w:rsidR="00A5678D" w:rsidRPr="00A5678D" w:rsidRDefault="004250E8" w:rsidP="006B07AB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4250E8" w:rsidP="006B07AB">
            <w:pPr>
              <w:rPr>
                <w:b/>
                <w:u w:val="single"/>
              </w:rPr>
            </w:pPr>
          </w:p>
        </w:tc>
      </w:tr>
      <w:tr w:rsidR="003407CE" w:rsidTr="00345119">
        <w:tc>
          <w:tcPr>
            <w:tcW w:w="9576" w:type="dxa"/>
          </w:tcPr>
          <w:p w:rsidR="008423E4" w:rsidRPr="00A8133F" w:rsidRDefault="004250E8" w:rsidP="006B07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E85D4F" w:rsidRDefault="004250E8" w:rsidP="006B07AB">
            <w:pPr>
              <w:rPr>
                <w:sz w:val="22"/>
              </w:rPr>
            </w:pPr>
          </w:p>
          <w:p w:rsidR="00A5678D" w:rsidRDefault="004250E8" w:rsidP="006B07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</w:t>
            </w:r>
            <w:r>
              <w:t xml:space="preserve">oller of public accounts in SECTION </w:t>
            </w:r>
            <w:r>
              <w:t xml:space="preserve">9 </w:t>
            </w:r>
            <w:r>
              <w:t>of this bill.</w:t>
            </w:r>
          </w:p>
          <w:p w:rsidR="008423E4" w:rsidRPr="00E85D4F" w:rsidRDefault="004250E8" w:rsidP="006B07AB">
            <w:pPr>
              <w:rPr>
                <w:b/>
                <w:sz w:val="22"/>
              </w:rPr>
            </w:pPr>
          </w:p>
        </w:tc>
      </w:tr>
      <w:tr w:rsidR="003407CE" w:rsidTr="00345119">
        <w:tc>
          <w:tcPr>
            <w:tcW w:w="9576" w:type="dxa"/>
          </w:tcPr>
          <w:p w:rsidR="008423E4" w:rsidRPr="00A8133F" w:rsidRDefault="004250E8" w:rsidP="006B07AB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85D4F" w:rsidRDefault="004250E8" w:rsidP="006B07AB">
            <w:pPr>
              <w:contextualSpacing/>
              <w:rPr>
                <w:sz w:val="22"/>
              </w:rPr>
            </w:pPr>
          </w:p>
          <w:p w:rsidR="0009203E" w:rsidRDefault="004250E8" w:rsidP="006B07AB">
            <w:pPr>
              <w:pStyle w:val="Header"/>
              <w:contextualSpacing/>
              <w:jc w:val="both"/>
            </w:pPr>
            <w:r>
              <w:t>C.S.S.B. 2194</w:t>
            </w:r>
            <w:r>
              <w:t xml:space="preserve"> amends the </w:t>
            </w:r>
            <w:r>
              <w:t>Tax</w:t>
            </w:r>
            <w:r>
              <w:t xml:space="preserve"> Code to </w:t>
            </w:r>
            <w:r>
              <w:t xml:space="preserve">set out provisions relating to the use of certain tax revenue for municipal hotel and convention center projects and other qualified projects. </w:t>
            </w:r>
          </w:p>
          <w:p w:rsidR="0009203E" w:rsidRDefault="004250E8" w:rsidP="006B07AB">
            <w:pPr>
              <w:pStyle w:val="Header"/>
              <w:contextualSpacing/>
              <w:jc w:val="both"/>
            </w:pPr>
          </w:p>
          <w:p w:rsidR="00067E98" w:rsidRDefault="004250E8" w:rsidP="006B07AB">
            <w:pPr>
              <w:pStyle w:val="Header"/>
              <w:contextualSpacing/>
              <w:jc w:val="both"/>
            </w:pPr>
            <w:r>
              <w:t xml:space="preserve">C.S.S.B. </w:t>
            </w:r>
            <w:r>
              <w:t>2194</w:t>
            </w:r>
            <w:r>
              <w:t xml:space="preserve"> </w:t>
            </w:r>
            <w:r>
              <w:t>entitle</w:t>
            </w:r>
            <w:r>
              <w:t>s</w:t>
            </w:r>
            <w:r>
              <w:t xml:space="preserve"> </w:t>
            </w:r>
            <w:r w:rsidRPr="00F80998">
              <w:t>a</w:t>
            </w:r>
            <w:r w:rsidRPr="00F80998">
              <w:t xml:space="preserve">n applicable </w:t>
            </w:r>
            <w:r w:rsidRPr="001A1364">
              <w:t>municipalit</w:t>
            </w:r>
            <w:r w:rsidRPr="001A1364">
              <w:t>y</w:t>
            </w:r>
            <w:r>
              <w:t xml:space="preserve"> </w:t>
            </w:r>
            <w:r>
              <w:t>to receive</w:t>
            </w:r>
            <w:r>
              <w:t xml:space="preserve">, subject to certain </w:t>
            </w:r>
            <w:r>
              <w:t xml:space="preserve">requirements and </w:t>
            </w:r>
            <w:r>
              <w:t>limitations</w:t>
            </w:r>
            <w:r>
              <w:t xml:space="preserve"> set out by the bill</w:t>
            </w:r>
            <w:r>
              <w:t>,</w:t>
            </w:r>
            <w:r>
              <w:t xml:space="preserve"> the revenue derived from the following taxes generated, paid, and collected by a qualified hotel</w:t>
            </w:r>
            <w:r>
              <w:t xml:space="preserve"> and each restaurant, bar, and retail establishment located in or connected to the hotel</w:t>
            </w:r>
            <w:r>
              <w:t xml:space="preserve"> or the related qualified convention center facility</w:t>
            </w:r>
            <w:r>
              <w:t xml:space="preserve">, that is located in the </w:t>
            </w:r>
            <w:r>
              <w:t>municipality:</w:t>
            </w:r>
          </w:p>
          <w:p w:rsidR="00067E98" w:rsidRDefault="004250E8" w:rsidP="006B07A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sales and use tax;</w:t>
            </w:r>
          </w:p>
          <w:p w:rsidR="00067E98" w:rsidRDefault="004250E8" w:rsidP="006B07A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hotel occupancy tax; and</w:t>
            </w:r>
          </w:p>
          <w:p w:rsidR="00067E98" w:rsidRDefault="004250E8" w:rsidP="006B07A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if a political subdivisio</w:t>
            </w:r>
            <w:r>
              <w:t>n that is entitle</w:t>
            </w:r>
            <w:r>
              <w:t>d</w:t>
            </w:r>
            <w:r>
              <w:t xml:space="preserve"> to receive the revenue from the tax agrees in writing to pay the revenue to the municipality:</w:t>
            </w:r>
          </w:p>
          <w:p w:rsidR="00067E98" w:rsidRDefault="004250E8" w:rsidP="006B07A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the sales and use tax imposed by the political subdivision under statutory provisions governing sales and use taxes for special purpose taxing </w:t>
            </w:r>
            <w:r>
              <w:t>authorities or under the County Sales and Use Tax Act</w:t>
            </w:r>
            <w:r>
              <w:t>;</w:t>
            </w:r>
          </w:p>
          <w:p w:rsidR="00067E98" w:rsidRDefault="004250E8" w:rsidP="006B07A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the county hotel occupancy tax</w:t>
            </w:r>
            <w:r>
              <w:t>;</w:t>
            </w:r>
            <w:r>
              <w:t xml:space="preserve"> and</w:t>
            </w:r>
          </w:p>
          <w:p w:rsidR="006507E6" w:rsidRDefault="004250E8" w:rsidP="006B07AB">
            <w:pPr>
              <w:pStyle w:val="Header"/>
              <w:numPr>
                <w:ilvl w:val="1"/>
                <w:numId w:val="1"/>
              </w:numPr>
              <w:contextualSpacing/>
              <w:jc w:val="both"/>
            </w:pPr>
            <w:r>
              <w:t>the mixed beverage tax</w:t>
            </w:r>
            <w:r>
              <w:t xml:space="preserve"> issued </w:t>
            </w:r>
            <w:r>
              <w:t>under</w:t>
            </w:r>
            <w:r>
              <w:t xml:space="preserve"> statutory provisions </w:t>
            </w:r>
            <w:r>
              <w:t>relating to</w:t>
            </w:r>
            <w:r>
              <w:t xml:space="preserve"> the mixed beverage tax clearance fund</w:t>
            </w:r>
            <w:r>
              <w:t>.</w:t>
            </w:r>
          </w:p>
          <w:p w:rsidR="00BA102C" w:rsidRDefault="004250E8" w:rsidP="006B07AB">
            <w:pPr>
              <w:pStyle w:val="Header"/>
              <w:contextualSpacing/>
              <w:jc w:val="both"/>
            </w:pPr>
          </w:p>
          <w:p w:rsidR="00D215ED" w:rsidRDefault="004250E8" w:rsidP="006B07AB">
            <w:pPr>
              <w:pStyle w:val="Header"/>
              <w:contextualSpacing/>
              <w:jc w:val="both"/>
            </w:pPr>
            <w:r>
              <w:t xml:space="preserve">C.S.S.B. 2194 sets out definitions for, among other </w:t>
            </w:r>
            <w:r>
              <w:t xml:space="preserve">terms, "qualified hotel" and "qualified convention center facility." </w:t>
            </w:r>
          </w:p>
          <w:p w:rsidR="00883D8E" w:rsidRDefault="004250E8" w:rsidP="006B07AB">
            <w:pPr>
              <w:pStyle w:val="Header"/>
              <w:contextualSpacing/>
              <w:jc w:val="both"/>
            </w:pPr>
          </w:p>
          <w:p w:rsidR="0009203E" w:rsidRDefault="004250E8" w:rsidP="006B07AB">
            <w:pPr>
              <w:pStyle w:val="Header"/>
              <w:contextualSpacing/>
              <w:jc w:val="both"/>
            </w:pPr>
            <w:r>
              <w:t xml:space="preserve">C.S.S.B. 2194 </w:t>
            </w:r>
            <w:r>
              <w:t xml:space="preserve">specifies </w:t>
            </w:r>
            <w:r>
              <w:t xml:space="preserve">the </w:t>
            </w:r>
            <w:r>
              <w:t xml:space="preserve">municipalities to which </w:t>
            </w:r>
            <w:r>
              <w:t xml:space="preserve">that </w:t>
            </w:r>
            <w:r>
              <w:t xml:space="preserve">entitlement applies and </w:t>
            </w:r>
            <w:r>
              <w:t>provides for</w:t>
            </w:r>
            <w:r>
              <w:t xml:space="preserve"> the following:</w:t>
            </w:r>
            <w:r>
              <w:t xml:space="preserve"> </w:t>
            </w:r>
          </w:p>
          <w:p w:rsidR="0009203E" w:rsidRDefault="004250E8" w:rsidP="006B07AB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exceptions to certain municipal ownership requirements</w:t>
            </w:r>
            <w:r>
              <w:t xml:space="preserve"> for certain of those</w:t>
            </w:r>
            <w:r>
              <w:t xml:space="preserve"> </w:t>
            </w:r>
            <w:r>
              <w:t xml:space="preserve">specified </w:t>
            </w:r>
            <w:r>
              <w:t xml:space="preserve">applicable </w:t>
            </w:r>
            <w:r>
              <w:t>municipalities</w:t>
            </w:r>
            <w:r>
              <w:t xml:space="preserve">; </w:t>
            </w:r>
          </w:p>
          <w:p w:rsidR="0009203E" w:rsidRDefault="004250E8" w:rsidP="006B07AB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the authority of a nonprofit corporation to act on behalf of a</w:t>
            </w:r>
            <w:r>
              <w:t>n applicable</w:t>
            </w:r>
            <w:r>
              <w:t xml:space="preserve"> municipality</w:t>
            </w:r>
            <w:r>
              <w:t xml:space="preserve"> for any purposes relating to that entitlement</w:t>
            </w:r>
            <w:r>
              <w:t xml:space="preserve">; </w:t>
            </w:r>
            <w:r>
              <w:t xml:space="preserve">and </w:t>
            </w:r>
          </w:p>
          <w:p w:rsidR="0009203E" w:rsidRDefault="004250E8" w:rsidP="006B07AB">
            <w:pPr>
              <w:pStyle w:val="Header"/>
              <w:numPr>
                <w:ilvl w:val="0"/>
                <w:numId w:val="8"/>
              </w:numPr>
              <w:contextualSpacing/>
              <w:jc w:val="both"/>
            </w:pPr>
            <w:r>
              <w:t xml:space="preserve">an entitlement for certain </w:t>
            </w:r>
            <w:r>
              <w:t>of th</w:t>
            </w:r>
            <w:r>
              <w:t>os</w:t>
            </w:r>
            <w:r>
              <w:t xml:space="preserve">e </w:t>
            </w:r>
            <w:r>
              <w:t xml:space="preserve">specified </w:t>
            </w:r>
            <w:r>
              <w:t xml:space="preserve">applicable </w:t>
            </w:r>
            <w:r>
              <w:t>municipalities</w:t>
            </w:r>
            <w:r>
              <w:t>, unde</w:t>
            </w:r>
            <w:r>
              <w:t>r certain conditions,</w:t>
            </w:r>
            <w:r>
              <w:t xml:space="preserve"> to </w:t>
            </w:r>
            <w:r>
              <w:t xml:space="preserve">receive </w:t>
            </w:r>
            <w:r>
              <w:t>other</w:t>
            </w:r>
            <w:r>
              <w:t xml:space="preserve"> additional revenue</w:t>
            </w:r>
            <w:r>
              <w:t xml:space="preserve"> derived from certain types of establishments</w:t>
            </w:r>
            <w:r>
              <w:t>.</w:t>
            </w:r>
            <w:r>
              <w:t xml:space="preserve"> </w:t>
            </w:r>
          </w:p>
          <w:p w:rsidR="00C167EA" w:rsidRDefault="004250E8" w:rsidP="006B07AB">
            <w:pPr>
              <w:pStyle w:val="Header"/>
              <w:contextualSpacing/>
              <w:jc w:val="both"/>
            </w:pPr>
          </w:p>
          <w:p w:rsidR="00184648" w:rsidRDefault="004250E8" w:rsidP="006B07AB">
            <w:pPr>
              <w:pStyle w:val="Header"/>
              <w:contextualSpacing/>
              <w:jc w:val="both"/>
            </w:pPr>
            <w:r>
              <w:t>C.S.S.B. 2194</w:t>
            </w:r>
            <w:r>
              <w:t xml:space="preserve"> establishes that</w:t>
            </w:r>
            <w:r>
              <w:t xml:space="preserve"> a</w:t>
            </w:r>
            <w:r>
              <w:t>n applicable</w:t>
            </w:r>
            <w:r>
              <w:t xml:space="preserve"> municipality is entitled to receive revenue </w:t>
            </w:r>
            <w:r w:rsidRPr="001613ED">
              <w:t>as provided by the bill's provisions</w:t>
            </w:r>
            <w:r>
              <w:t xml:space="preserve"> until the 10th </w:t>
            </w:r>
            <w:r>
              <w:t>anniversary of the date the qualified hotel to which the entitlement relates is open for initial occupancy</w:t>
            </w:r>
            <w:r>
              <w:t>. The bill</w:t>
            </w:r>
            <w:r>
              <w:t xml:space="preserve"> </w:t>
            </w:r>
            <w:r w:rsidRPr="00F80998">
              <w:t xml:space="preserve">provides for the deposit of </w:t>
            </w:r>
            <w:r>
              <w:t>the applicable tax</w:t>
            </w:r>
            <w:r w:rsidRPr="00F80998">
              <w:t xml:space="preserve"> revenue </w:t>
            </w:r>
            <w:r>
              <w:t xml:space="preserve">to which a municipality is entitled under the bill's provisions </w:t>
            </w:r>
            <w:r w:rsidRPr="00F80998">
              <w:t>by the comptroller o</w:t>
            </w:r>
            <w:r w:rsidRPr="00F80998">
              <w:t>f public</w:t>
            </w:r>
            <w:r w:rsidRPr="001613ED">
              <w:t xml:space="preserve"> accounts</w:t>
            </w:r>
            <w:r>
              <w:t xml:space="preserve"> and requires the comptroller to pay to each municipality </w:t>
            </w:r>
            <w:r>
              <w:t>the</w:t>
            </w:r>
            <w:r>
              <w:t xml:space="preserve"> revenue </w:t>
            </w:r>
            <w:r>
              <w:t xml:space="preserve">to which the municipality is entitled </w:t>
            </w:r>
            <w:r>
              <w:t>at least quarterly.</w:t>
            </w:r>
          </w:p>
          <w:p w:rsidR="00A61868" w:rsidRDefault="004250E8" w:rsidP="006B07AB">
            <w:pPr>
              <w:pStyle w:val="Header"/>
              <w:contextualSpacing/>
              <w:jc w:val="both"/>
            </w:pPr>
          </w:p>
          <w:p w:rsidR="00184648" w:rsidRDefault="004250E8" w:rsidP="006B07AB">
            <w:pPr>
              <w:pStyle w:val="Header"/>
              <w:contextualSpacing/>
              <w:jc w:val="both"/>
            </w:pPr>
            <w:r>
              <w:t xml:space="preserve">C.S.S.B. 2194 </w:t>
            </w:r>
            <w:r w:rsidRPr="003A495C">
              <w:t>authorizes such a</w:t>
            </w:r>
            <w:r>
              <w:t>n applicable</w:t>
            </w:r>
            <w:r w:rsidRPr="003A495C">
              <w:t xml:space="preserve"> municipality, in addition to the authority of the municipality to </w:t>
            </w:r>
            <w:r w:rsidRPr="003A495C">
              <w:t>issue debt for municipal buildings, to pledge or commit the revenue derived from the municipal hotel occupancy tax from a qualified hotel and the revenue to which the municipality is entitled under the bill's provisions for the payment of bonds or other ob</w:t>
            </w:r>
            <w:r w:rsidRPr="003A495C">
              <w:t>ligations issued for a qualified project, as defined by the bill, and contractual obli</w:t>
            </w:r>
            <w:r>
              <w:t>gations related to the project.</w:t>
            </w:r>
            <w:r>
              <w:t xml:space="preserve"> </w:t>
            </w:r>
            <w:r w:rsidRPr="00187344">
              <w:t>The bill sets out related provisions</w:t>
            </w:r>
            <w:r>
              <w:t>.</w:t>
            </w:r>
          </w:p>
          <w:p w:rsidR="00184648" w:rsidRDefault="004250E8" w:rsidP="006B07AB">
            <w:pPr>
              <w:pStyle w:val="Header"/>
              <w:contextualSpacing/>
              <w:jc w:val="both"/>
            </w:pPr>
          </w:p>
          <w:p w:rsidR="00876DA4" w:rsidRDefault="004250E8" w:rsidP="006B07AB">
            <w:pPr>
              <w:pStyle w:val="Header"/>
              <w:contextualSpacing/>
              <w:jc w:val="both"/>
            </w:pPr>
            <w:r>
              <w:t>C.S.S.B. 2194</w:t>
            </w:r>
            <w:r>
              <w:t xml:space="preserve"> limits the </w:t>
            </w:r>
            <w:r>
              <w:t>authorization for</w:t>
            </w:r>
            <w:r>
              <w:t xml:space="preserve"> certain municipalities </w:t>
            </w:r>
            <w:r w:rsidRPr="003453B8">
              <w:t>to pledge the revenue derived fro</w:t>
            </w:r>
            <w:r w:rsidRPr="003453B8">
              <w:t xml:space="preserve">m the municipal hotel occupancy tax from </w:t>
            </w:r>
            <w:r w:rsidRPr="00F816CA">
              <w:t>certain hotel projects</w:t>
            </w:r>
            <w:r w:rsidRPr="003453B8">
              <w:t xml:space="preserve"> for the payment of bonds or other obligations issued or incurred to acquire, lease, construct, and equip the hotel and any facilities ancillary to the hotel</w:t>
            </w:r>
            <w:r>
              <w:t xml:space="preserve"> to the following municipalities:</w:t>
            </w:r>
          </w:p>
          <w:p w:rsidR="00876DA4" w:rsidRDefault="004250E8" w:rsidP="006B07AB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a </w:t>
            </w:r>
            <w:r>
              <w:t>municipality with a population of two million or more;</w:t>
            </w:r>
          </w:p>
          <w:p w:rsidR="00876DA4" w:rsidRDefault="004250E8" w:rsidP="006B07AB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a municipality with a population of 700,000 or more but less than 1.3 million;</w:t>
            </w:r>
          </w:p>
          <w:p w:rsidR="00876DA4" w:rsidRDefault="004250E8" w:rsidP="006B07AB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a municipality with a population of 350,000 or more but less than 450,000 in which two professional sports stadiums are lo</w:t>
            </w:r>
            <w:r>
              <w:t>cated, each of which:</w:t>
            </w:r>
          </w:p>
          <w:p w:rsidR="00876DA4" w:rsidRDefault="004250E8" w:rsidP="006B07AB">
            <w:pPr>
              <w:pStyle w:val="Header"/>
              <w:numPr>
                <w:ilvl w:val="1"/>
                <w:numId w:val="9"/>
              </w:numPr>
              <w:spacing w:before="120" w:after="120"/>
              <w:jc w:val="both"/>
            </w:pPr>
            <w:r>
              <w:t>has a seating capacity of at least 40,000 people; and</w:t>
            </w:r>
          </w:p>
          <w:p w:rsidR="00876DA4" w:rsidRDefault="004250E8" w:rsidP="006B07AB">
            <w:pPr>
              <w:pStyle w:val="Header"/>
              <w:numPr>
                <w:ilvl w:val="1"/>
                <w:numId w:val="9"/>
              </w:numPr>
              <w:spacing w:before="120" w:after="120"/>
              <w:jc w:val="both"/>
            </w:pPr>
            <w:r>
              <w:t>was approved by the voters of the municipality as a sports and community venue project; and</w:t>
            </w:r>
          </w:p>
          <w:p w:rsidR="00876DA4" w:rsidRDefault="004250E8" w:rsidP="006B07AB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a municipality with a population of less than 2,000 that:</w:t>
            </w:r>
          </w:p>
          <w:p w:rsidR="00876DA4" w:rsidRDefault="004250E8" w:rsidP="006B07AB">
            <w:pPr>
              <w:pStyle w:val="Header"/>
              <w:numPr>
                <w:ilvl w:val="1"/>
                <w:numId w:val="9"/>
              </w:numPr>
              <w:spacing w:before="120" w:after="120"/>
              <w:jc w:val="both"/>
            </w:pPr>
            <w:r>
              <w:t xml:space="preserve">is located adjacent to a bay </w:t>
            </w:r>
            <w:r>
              <w:t>connected to the Gulf of Mexico;</w:t>
            </w:r>
          </w:p>
          <w:p w:rsidR="00876DA4" w:rsidRDefault="004250E8" w:rsidP="006B07AB">
            <w:pPr>
              <w:pStyle w:val="Header"/>
              <w:numPr>
                <w:ilvl w:val="1"/>
                <w:numId w:val="9"/>
              </w:numPr>
              <w:spacing w:before="120" w:after="120"/>
              <w:jc w:val="both"/>
            </w:pPr>
            <w:r>
              <w:t>is located in a county with a population of 290,000 or more that is adjacent to a county with a population of four million or more; and</w:t>
            </w:r>
          </w:p>
          <w:p w:rsidR="00876DA4" w:rsidRDefault="004250E8" w:rsidP="006B07AB">
            <w:pPr>
              <w:pStyle w:val="Header"/>
              <w:numPr>
                <w:ilvl w:val="1"/>
                <w:numId w:val="9"/>
              </w:numPr>
              <w:contextualSpacing/>
              <w:jc w:val="both"/>
            </w:pPr>
            <w:r>
              <w:t>has a boardwalk on the bay</w:t>
            </w:r>
            <w:r>
              <w:t>.</w:t>
            </w:r>
            <w:r>
              <w:t xml:space="preserve"> </w:t>
            </w:r>
          </w:p>
          <w:p w:rsidR="007D6558" w:rsidRDefault="004250E8" w:rsidP="006B07AB">
            <w:pPr>
              <w:pStyle w:val="Header"/>
              <w:contextualSpacing/>
              <w:jc w:val="both"/>
            </w:pPr>
          </w:p>
          <w:p w:rsidR="00184648" w:rsidRDefault="004250E8" w:rsidP="006B07AB">
            <w:pPr>
              <w:pStyle w:val="Header"/>
              <w:contextualSpacing/>
              <w:jc w:val="both"/>
            </w:pPr>
            <w:r>
              <w:t xml:space="preserve">C.S.S.B. 2194 </w:t>
            </w:r>
            <w:r w:rsidRPr="00E26920">
              <w:t>sets out and revises</w:t>
            </w:r>
            <w:r>
              <w:t xml:space="preserve"> provisions</w:t>
            </w:r>
            <w:r>
              <w:t xml:space="preserve"> related to the immediately preceding limitation</w:t>
            </w:r>
            <w:r>
              <w:t xml:space="preserve">, including </w:t>
            </w:r>
            <w:r>
              <w:t xml:space="preserve">provisions </w:t>
            </w:r>
            <w:r>
              <w:t xml:space="preserve">limiting the convention center facility </w:t>
            </w:r>
            <w:r>
              <w:t xml:space="preserve">within </w:t>
            </w:r>
            <w:r>
              <w:t>1,000 feet of which the applicable hotel project must be located to a qualified convention center facility and changing the ancillary faci</w:t>
            </w:r>
            <w:r>
              <w:t xml:space="preserve">lities for which the revenue may be pledged. The bill </w:t>
            </w:r>
            <w:r w:rsidRPr="00BD3677">
              <w:t xml:space="preserve">repeals the prohibition against an applicable municipality receiving or pledging revenue derived from the </w:t>
            </w:r>
            <w:r>
              <w:t xml:space="preserve">municipal </w:t>
            </w:r>
            <w:r w:rsidRPr="00BD3677">
              <w:t xml:space="preserve">hotel occupancy tax for a hotel project or </w:t>
            </w:r>
            <w:r>
              <w:t xml:space="preserve">certain other </w:t>
            </w:r>
            <w:r w:rsidRPr="00BD3677">
              <w:t>funds from the project unless</w:t>
            </w:r>
            <w:r w:rsidRPr="00BD3677">
              <w:t xml:space="preserve"> the municipality enters into an agreement with a person for the development of the project before September 1, 2019.</w:t>
            </w:r>
          </w:p>
          <w:p w:rsidR="007C4292" w:rsidRDefault="004250E8" w:rsidP="006B07AB">
            <w:pPr>
              <w:pStyle w:val="Header"/>
              <w:contextualSpacing/>
              <w:jc w:val="both"/>
            </w:pPr>
          </w:p>
          <w:p w:rsidR="00FD18F2" w:rsidRDefault="004250E8" w:rsidP="006B07AB">
            <w:pPr>
              <w:pStyle w:val="Header"/>
              <w:contextualSpacing/>
              <w:jc w:val="both"/>
            </w:pPr>
            <w:r>
              <w:t xml:space="preserve">C.S.S.B. 2194 </w:t>
            </w:r>
            <w:r>
              <w:t xml:space="preserve"> </w:t>
            </w:r>
            <w:r>
              <w:t>provides for the following:</w:t>
            </w:r>
          </w:p>
          <w:p w:rsidR="00FD18F2" w:rsidRDefault="004250E8" w:rsidP="006B07AB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the </w:t>
            </w:r>
            <w:r>
              <w:t>entitle</w:t>
            </w:r>
            <w:r>
              <w:t>ment</w:t>
            </w:r>
            <w:r>
              <w:t xml:space="preserve"> </w:t>
            </w:r>
            <w:r>
              <w:t xml:space="preserve">of such </w:t>
            </w:r>
            <w:r>
              <w:t>a</w:t>
            </w:r>
            <w:r>
              <w:t xml:space="preserve">n applicable </w:t>
            </w:r>
            <w:r>
              <w:t xml:space="preserve">municipality with a population of less than 2,000 </w:t>
            </w:r>
            <w:r>
              <w:t>or a</w:t>
            </w:r>
            <w:r w:rsidRPr="00327618">
              <w:t xml:space="preserve"> l</w:t>
            </w:r>
            <w:r w:rsidRPr="00327618">
              <w:t xml:space="preserve">ocal government corporation acting on behalf of </w:t>
            </w:r>
            <w:r>
              <w:t>the</w:t>
            </w:r>
            <w:r w:rsidRPr="00327618">
              <w:t xml:space="preserve"> </w:t>
            </w:r>
            <w:r>
              <w:t xml:space="preserve">eligible </w:t>
            </w:r>
            <w:r w:rsidRPr="00327618">
              <w:t xml:space="preserve">municipality </w:t>
            </w:r>
            <w:r>
              <w:t>to pledge certain funds for</w:t>
            </w:r>
            <w:r>
              <w:t xml:space="preserve"> the payment of bonds</w:t>
            </w:r>
            <w:r>
              <w:t>, other obligations,</w:t>
            </w:r>
            <w:r>
              <w:t xml:space="preserve"> or </w:t>
            </w:r>
            <w:r>
              <w:t xml:space="preserve">contractual </w:t>
            </w:r>
            <w:r>
              <w:t>obligations issued or incurred to acquire, lease, construct, or equip</w:t>
            </w:r>
            <w:r>
              <w:t xml:space="preserve"> a multipurpose convention ce</w:t>
            </w:r>
            <w:r>
              <w:t>nter facility project, as defined by the bill</w:t>
            </w:r>
            <w:r>
              <w:t>;</w:t>
            </w:r>
            <w:r>
              <w:t xml:space="preserve"> and </w:t>
            </w:r>
          </w:p>
          <w:p w:rsidR="00FD18F2" w:rsidRDefault="004250E8" w:rsidP="006B07AB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the </w:t>
            </w:r>
            <w:r>
              <w:t>entitle</w:t>
            </w:r>
            <w:r>
              <w:t>ment</w:t>
            </w:r>
            <w:r>
              <w:t xml:space="preserve"> </w:t>
            </w:r>
            <w:r>
              <w:t xml:space="preserve">of such </w:t>
            </w:r>
            <w:r>
              <w:t>a</w:t>
            </w:r>
            <w:r>
              <w:t>n applicable</w:t>
            </w:r>
            <w:r>
              <w:t xml:space="preserve"> municipality with a population of 350,000 or more but less than 450,000</w:t>
            </w:r>
            <w:r>
              <w:t xml:space="preserve"> to pledge certain funds for the payment of bonds</w:t>
            </w:r>
            <w:r>
              <w:t>,</w:t>
            </w:r>
            <w:r>
              <w:t xml:space="preserve"> other obligations</w:t>
            </w:r>
            <w:r>
              <w:t>, or contractual obligation</w:t>
            </w:r>
            <w:r>
              <w:t>s</w:t>
            </w:r>
            <w:r>
              <w:t xml:space="preserve"> issued or incurred to acquire, lease, construct, improve, enlarge, and equip a certain hotel project. </w:t>
            </w:r>
          </w:p>
          <w:p w:rsidR="000B0505" w:rsidRDefault="004250E8" w:rsidP="006B07AB">
            <w:pPr>
              <w:pStyle w:val="Header"/>
              <w:contextualSpacing/>
              <w:jc w:val="both"/>
            </w:pPr>
            <w:r>
              <w:t xml:space="preserve">The bill sets out related provisions, including </w:t>
            </w:r>
            <w:r>
              <w:t>provisions</w:t>
            </w:r>
            <w:r>
              <w:t xml:space="preserve"> </w:t>
            </w:r>
            <w:r>
              <w:t>limiting the period of each respective entitlement</w:t>
            </w:r>
            <w:r>
              <w:t xml:space="preserve">. </w:t>
            </w:r>
          </w:p>
          <w:p w:rsidR="003C572A" w:rsidRDefault="004250E8" w:rsidP="006B07AB">
            <w:pPr>
              <w:pStyle w:val="Header"/>
              <w:contextualSpacing/>
              <w:jc w:val="both"/>
            </w:pPr>
          </w:p>
          <w:p w:rsidR="00AB356E" w:rsidRDefault="004250E8" w:rsidP="006B07AB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C.S.S.B. 2194</w:t>
            </w:r>
            <w:r>
              <w:t xml:space="preserve"> </w:t>
            </w:r>
            <w:r w:rsidRPr="004071C0">
              <w:t>revises</w:t>
            </w:r>
            <w:r w:rsidRPr="004071C0">
              <w:t xml:space="preserve"> </w:t>
            </w:r>
            <w:r>
              <w:t xml:space="preserve">provisions governing the allocation of </w:t>
            </w:r>
            <w:r>
              <w:t xml:space="preserve">certain tax </w:t>
            </w:r>
            <w:r>
              <w:t>revenue</w:t>
            </w:r>
            <w:r>
              <w:t xml:space="preserve"> by an applicable municipality</w:t>
            </w:r>
            <w:r>
              <w:t xml:space="preserve"> for</w:t>
            </w:r>
            <w:r>
              <w:t>:</w:t>
            </w:r>
            <w:r>
              <w:t xml:space="preserve"> </w:t>
            </w:r>
          </w:p>
          <w:p w:rsidR="00AB356E" w:rsidRDefault="004250E8" w:rsidP="006B07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advertising and conducting solicitations and promotional programs to attract tourists and convention delegates or registrants to the municipality or its vicinity</w:t>
            </w:r>
            <w:r>
              <w:t>; and</w:t>
            </w:r>
          </w:p>
          <w:p w:rsidR="00AB356E" w:rsidRDefault="004250E8" w:rsidP="006B07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 w:rsidRPr="00AB356E">
              <w:t>expenses, including promotion expenses, directly related to a sporting event in which the majority of participants are tourists who substantially increase economic activity at hotels and motels within the municipality or its vicinity</w:t>
            </w:r>
            <w:r>
              <w:t>.</w:t>
            </w:r>
          </w:p>
          <w:p w:rsidR="00E11FE1" w:rsidRDefault="004250E8" w:rsidP="006B07AB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E11FE1" w:rsidRDefault="004250E8" w:rsidP="006B07AB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C.S.S.B. 2194 </w:t>
            </w:r>
            <w:r>
              <w:t>authorizes the comptroller to adopt rules as necessary to administer the bill's provisions.</w:t>
            </w:r>
          </w:p>
          <w:p w:rsidR="00C07F62" w:rsidRDefault="004250E8" w:rsidP="006B07AB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C07F62" w:rsidRDefault="004250E8" w:rsidP="006B07AB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C.S.S.B. 2194 repeals </w:t>
            </w:r>
            <w:r w:rsidRPr="00C07F62">
              <w:t>Sections 351.102(b-1), (c-1), and (g)</w:t>
            </w:r>
            <w:r>
              <w:t>, Tax Code</w:t>
            </w:r>
            <w:r>
              <w:t>.</w:t>
            </w:r>
            <w:r>
              <w:t xml:space="preserve">   </w:t>
            </w:r>
          </w:p>
          <w:p w:rsidR="008423E4" w:rsidRPr="00835628" w:rsidRDefault="004250E8" w:rsidP="006B07AB">
            <w:pPr>
              <w:contextualSpacing/>
              <w:rPr>
                <w:b/>
              </w:rPr>
            </w:pPr>
          </w:p>
        </w:tc>
      </w:tr>
      <w:tr w:rsidR="003407CE" w:rsidTr="00345119">
        <w:tc>
          <w:tcPr>
            <w:tcW w:w="9576" w:type="dxa"/>
          </w:tcPr>
          <w:p w:rsidR="008423E4" w:rsidRPr="00A8133F" w:rsidRDefault="004250E8" w:rsidP="006B07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50E8" w:rsidP="006B07AB"/>
          <w:p w:rsidR="008423E4" w:rsidRPr="003624F2" w:rsidRDefault="004250E8" w:rsidP="006B07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250E8" w:rsidP="006B07AB">
            <w:pPr>
              <w:rPr>
                <w:b/>
              </w:rPr>
            </w:pPr>
          </w:p>
        </w:tc>
      </w:tr>
      <w:tr w:rsidR="003407CE" w:rsidTr="00345119">
        <w:tc>
          <w:tcPr>
            <w:tcW w:w="9576" w:type="dxa"/>
          </w:tcPr>
          <w:p w:rsidR="009A7211" w:rsidRDefault="004250E8" w:rsidP="006B07A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0F16E9" w:rsidRDefault="004250E8" w:rsidP="006B07AB">
            <w:pPr>
              <w:jc w:val="both"/>
            </w:pPr>
          </w:p>
          <w:p w:rsidR="000F16E9" w:rsidRDefault="004250E8" w:rsidP="006B07AB">
            <w:pPr>
              <w:jc w:val="both"/>
            </w:pPr>
            <w:r>
              <w:t>While C.S.S.B. 2194 may differ from the engrossed in minor or nonsubstantive ways, the following summarizes the substantial differences between the engrossed and committee substitute versions of the bill.</w:t>
            </w:r>
          </w:p>
          <w:p w:rsidR="00FD18F2" w:rsidRDefault="004250E8" w:rsidP="006B07AB">
            <w:pPr>
              <w:jc w:val="both"/>
            </w:pPr>
          </w:p>
          <w:p w:rsidR="000F16E9" w:rsidRPr="000F16E9" w:rsidRDefault="004250E8" w:rsidP="006B07AB">
            <w:pPr>
              <w:jc w:val="both"/>
            </w:pPr>
            <w:r>
              <w:t>The substitute does not include any provisions fro</w:t>
            </w:r>
            <w:r>
              <w:t xml:space="preserve">m the engrossed version, which </w:t>
            </w:r>
            <w:r>
              <w:t>expand</w:t>
            </w:r>
            <w:r>
              <w:t>s</w:t>
            </w:r>
            <w:r>
              <w:t xml:space="preserve"> the municipalities considered an eligible central municipality for purposes of the imposition and collection of municipal hotel occupancy taxes and the authorized use of the derived revenue</w:t>
            </w:r>
            <w:r>
              <w:t xml:space="preserve"> and</w:t>
            </w:r>
            <w:r>
              <w:t xml:space="preserve"> authorize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>additional</w:t>
            </w:r>
            <w:r>
              <w:t xml:space="preserve"> municipalit</w:t>
            </w:r>
            <w:r>
              <w:t>ies</w:t>
            </w:r>
            <w:r>
              <w:t xml:space="preserve"> to use that tax revenue for the promotion of tourism by enhancing and upgrading an existing municipally owned sports facility or field provided that certain requirements are met.</w:t>
            </w:r>
          </w:p>
        </w:tc>
      </w:tr>
    </w:tbl>
    <w:p w:rsidR="004108C3" w:rsidRPr="00CB6550" w:rsidRDefault="004250E8" w:rsidP="008423E4">
      <w:pPr>
        <w:rPr>
          <w:sz w:val="2"/>
          <w:szCs w:val="2"/>
        </w:rPr>
      </w:pPr>
    </w:p>
    <w:sectPr w:rsidR="004108C3" w:rsidRPr="00CB655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50E8">
      <w:r>
        <w:separator/>
      </w:r>
    </w:p>
  </w:endnote>
  <w:endnote w:type="continuationSeparator" w:id="0">
    <w:p w:rsidR="00000000" w:rsidRDefault="004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07CE" w:rsidTr="009C1E9A">
      <w:trPr>
        <w:cantSplit/>
      </w:trPr>
      <w:tc>
        <w:tcPr>
          <w:tcW w:w="0" w:type="pct"/>
        </w:tcPr>
        <w:p w:rsidR="00137D90" w:rsidRDefault="004250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50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50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50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50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7CE" w:rsidTr="009C1E9A">
      <w:trPr>
        <w:cantSplit/>
      </w:trPr>
      <w:tc>
        <w:tcPr>
          <w:tcW w:w="0" w:type="pct"/>
        </w:tcPr>
        <w:p w:rsidR="00EC379B" w:rsidRDefault="004250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50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34416</w:t>
          </w:r>
        </w:p>
      </w:tc>
      <w:tc>
        <w:tcPr>
          <w:tcW w:w="2453" w:type="pct"/>
        </w:tcPr>
        <w:p w:rsidR="00EC379B" w:rsidRDefault="004250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19.136.382</w:t>
          </w:r>
          <w:r>
            <w:fldChar w:fldCharType="end"/>
          </w:r>
        </w:p>
      </w:tc>
    </w:tr>
    <w:tr w:rsidR="003407CE" w:rsidTr="009C1E9A">
      <w:trPr>
        <w:cantSplit/>
      </w:trPr>
      <w:tc>
        <w:tcPr>
          <w:tcW w:w="0" w:type="pct"/>
        </w:tcPr>
        <w:p w:rsidR="00EC379B" w:rsidRDefault="004250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50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31351</w:t>
          </w:r>
        </w:p>
      </w:tc>
      <w:tc>
        <w:tcPr>
          <w:tcW w:w="2453" w:type="pct"/>
        </w:tcPr>
        <w:p w:rsidR="00EC379B" w:rsidRDefault="004250E8" w:rsidP="006D504F">
          <w:pPr>
            <w:pStyle w:val="Footer"/>
            <w:rPr>
              <w:rStyle w:val="PageNumber"/>
            </w:rPr>
          </w:pPr>
        </w:p>
        <w:p w:rsidR="00EC379B" w:rsidRDefault="004250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7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50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250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50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50E8">
      <w:r>
        <w:separator/>
      </w:r>
    </w:p>
  </w:footnote>
  <w:footnote w:type="continuationSeparator" w:id="0">
    <w:p w:rsidR="00000000" w:rsidRDefault="004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A11"/>
    <w:multiLevelType w:val="hybridMultilevel"/>
    <w:tmpl w:val="777EB55E"/>
    <w:lvl w:ilvl="0" w:tplc="E47C0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41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0F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EB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6A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A6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44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02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60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5C4"/>
    <w:multiLevelType w:val="hybridMultilevel"/>
    <w:tmpl w:val="4858A4D0"/>
    <w:lvl w:ilvl="0" w:tplc="61149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06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24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20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82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EE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E5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62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68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41B9"/>
    <w:multiLevelType w:val="hybridMultilevel"/>
    <w:tmpl w:val="49D84AD2"/>
    <w:lvl w:ilvl="0" w:tplc="D8A0F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80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0E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02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C7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C5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2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A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22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A94"/>
    <w:multiLevelType w:val="hybridMultilevel"/>
    <w:tmpl w:val="43DCCA82"/>
    <w:lvl w:ilvl="0" w:tplc="AE5A484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B2AFFF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0AD0D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25CB5D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E1A9A8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22C749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ECAB36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EE82F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6F020D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CD3699"/>
    <w:multiLevelType w:val="hybridMultilevel"/>
    <w:tmpl w:val="7BAC180A"/>
    <w:lvl w:ilvl="0" w:tplc="BD725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AB6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CD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06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E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A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2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9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4E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5B28"/>
    <w:multiLevelType w:val="hybridMultilevel"/>
    <w:tmpl w:val="BC96818A"/>
    <w:lvl w:ilvl="0" w:tplc="6FFA6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08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49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EB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6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A3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61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67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67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55B0"/>
    <w:multiLevelType w:val="hybridMultilevel"/>
    <w:tmpl w:val="019AD9BE"/>
    <w:lvl w:ilvl="0" w:tplc="68808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0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86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4E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CE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0F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ED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8D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E6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5A56"/>
    <w:multiLevelType w:val="hybridMultilevel"/>
    <w:tmpl w:val="D226A23A"/>
    <w:lvl w:ilvl="0" w:tplc="D31C6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AD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80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64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AB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8E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2F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0A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22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06F3C"/>
    <w:multiLevelType w:val="hybridMultilevel"/>
    <w:tmpl w:val="3AA2E3B6"/>
    <w:lvl w:ilvl="0" w:tplc="69BE2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AE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C1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22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A2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86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21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88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A4DA8"/>
    <w:multiLevelType w:val="hybridMultilevel"/>
    <w:tmpl w:val="E5884750"/>
    <w:lvl w:ilvl="0" w:tplc="B3624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20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6B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26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E3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4D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A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42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41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CE"/>
    <w:rsid w:val="003407CE"/>
    <w:rsid w:val="004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CE61A1-629C-44AD-B1CE-8F09F0D2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57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5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57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5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572A"/>
    <w:rPr>
      <w:b/>
      <w:bCs/>
    </w:rPr>
  </w:style>
  <w:style w:type="paragraph" w:styleId="ListParagraph">
    <w:name w:val="List Paragraph"/>
    <w:basedOn w:val="Normal"/>
    <w:uiPriority w:val="34"/>
    <w:qFormat/>
    <w:rsid w:val="0012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7231</Characters>
  <Application>Microsoft Office Word</Application>
  <DocSecurity>4</DocSecurity>
  <Lines>152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SB02194 (Committee Report (Substituted))</vt:lpstr>
    </vt:vector>
  </TitlesOfParts>
  <Company>State of Texas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34416</dc:subject>
  <dc:creator>State of Texas</dc:creator>
  <dc:description>SB 2194 by Lucio-(H)Ways &amp; Means (Substitute Document Number: 86R 31351)</dc:description>
  <cp:lastModifiedBy>Erin Conway</cp:lastModifiedBy>
  <cp:revision>2</cp:revision>
  <cp:lastPrinted>2019-03-26T16:48:00Z</cp:lastPrinted>
  <dcterms:created xsi:type="dcterms:W3CDTF">2019-05-17T15:33:00Z</dcterms:created>
  <dcterms:modified xsi:type="dcterms:W3CDTF">2019-05-17T15:33:00Z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19.136.382</vt:lpwstr>
  </property>
</Properties>
</file>