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3C12" w:rsidTr="00345119">
        <w:tc>
          <w:tcPr>
            <w:tcW w:w="9576" w:type="dxa"/>
            <w:noWrap/>
          </w:tcPr>
          <w:p w:rsidR="008423E4" w:rsidRPr="0022177D" w:rsidRDefault="00EE24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247C" w:rsidP="008423E4">
      <w:pPr>
        <w:jc w:val="center"/>
      </w:pPr>
    </w:p>
    <w:p w:rsidR="008423E4" w:rsidRPr="00B31F0E" w:rsidRDefault="00EE247C" w:rsidP="008423E4"/>
    <w:p w:rsidR="008423E4" w:rsidRPr="00742794" w:rsidRDefault="00EE24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3C12" w:rsidTr="00345119">
        <w:tc>
          <w:tcPr>
            <w:tcW w:w="9576" w:type="dxa"/>
          </w:tcPr>
          <w:p w:rsidR="008423E4" w:rsidRPr="00861995" w:rsidRDefault="00EE247C" w:rsidP="00345119">
            <w:pPr>
              <w:jc w:val="right"/>
            </w:pPr>
            <w:r>
              <w:t>S.B. 2195</w:t>
            </w:r>
          </w:p>
        </w:tc>
      </w:tr>
      <w:tr w:rsidR="00093C12" w:rsidTr="00345119">
        <w:tc>
          <w:tcPr>
            <w:tcW w:w="9576" w:type="dxa"/>
          </w:tcPr>
          <w:p w:rsidR="008423E4" w:rsidRPr="00861995" w:rsidRDefault="00EE247C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093C12" w:rsidTr="00345119">
        <w:tc>
          <w:tcPr>
            <w:tcW w:w="9576" w:type="dxa"/>
          </w:tcPr>
          <w:p w:rsidR="008423E4" w:rsidRPr="00861995" w:rsidRDefault="00EE247C" w:rsidP="00345119">
            <w:pPr>
              <w:jc w:val="right"/>
            </w:pPr>
            <w:r>
              <w:t>State Affairs</w:t>
            </w:r>
          </w:p>
        </w:tc>
      </w:tr>
      <w:tr w:rsidR="00093C12" w:rsidTr="00345119">
        <w:tc>
          <w:tcPr>
            <w:tcW w:w="9576" w:type="dxa"/>
          </w:tcPr>
          <w:p w:rsidR="008423E4" w:rsidRDefault="00EE24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247C" w:rsidP="008423E4">
      <w:pPr>
        <w:tabs>
          <w:tab w:val="right" w:pos="9360"/>
        </w:tabs>
      </w:pPr>
    </w:p>
    <w:p w:rsidR="008423E4" w:rsidRDefault="00EE247C" w:rsidP="008423E4"/>
    <w:p w:rsidR="008423E4" w:rsidRDefault="00EE24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3C12" w:rsidTr="00345119">
        <w:tc>
          <w:tcPr>
            <w:tcW w:w="9576" w:type="dxa"/>
          </w:tcPr>
          <w:p w:rsidR="008423E4" w:rsidRPr="00A8133F" w:rsidRDefault="00EE247C" w:rsidP="00EE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247C" w:rsidP="00EE30D1"/>
          <w:p w:rsidR="008423E4" w:rsidRDefault="00EE247C" w:rsidP="00EE30D1">
            <w:pPr>
              <w:pStyle w:val="Header"/>
              <w:jc w:val="both"/>
            </w:pPr>
            <w:r>
              <w:t>It has been noted that there are m</w:t>
            </w:r>
            <w:r>
              <w:t xml:space="preserve">any </w:t>
            </w:r>
            <w:r>
              <w:t xml:space="preserve">mixed use facilities across the state </w:t>
            </w:r>
            <w:r>
              <w:t>that include</w:t>
            </w:r>
            <w:r>
              <w:t xml:space="preserve"> multiple </w:t>
            </w:r>
            <w:r>
              <w:t>types</w:t>
            </w:r>
            <w:r>
              <w:t xml:space="preserve"> of housing, including </w:t>
            </w:r>
            <w:r>
              <w:t xml:space="preserve">apartment </w:t>
            </w:r>
            <w:r>
              <w:t>houses</w:t>
            </w:r>
            <w:r>
              <w:t xml:space="preserve">, </w:t>
            </w:r>
            <w:r>
              <w:t xml:space="preserve">manufactured homes, </w:t>
            </w:r>
            <w:r>
              <w:t>and recreational vehicle</w:t>
            </w:r>
            <w:r>
              <w:t xml:space="preserve">s. There </w:t>
            </w:r>
            <w:r>
              <w:t xml:space="preserve">have </w:t>
            </w:r>
            <w:r>
              <w:t xml:space="preserve">been calls for the state to provide greater clarity with respect to how electricity and water provided to </w:t>
            </w:r>
            <w:r w:rsidRPr="00801896">
              <w:t>these properties</w:t>
            </w:r>
            <w:r>
              <w:t xml:space="preserve"> are to be metered and billed, particularly when the applicable dwelling u</w:t>
            </w:r>
            <w:r>
              <w:t>nit or recreational vehicle is submetered. S.B. 2195 seeks to provide this clarity and</w:t>
            </w:r>
            <w:r>
              <w:t xml:space="preserve"> update definitions and terminology </w:t>
            </w:r>
            <w:r>
              <w:t>used with respect to electric and water metering</w:t>
            </w:r>
            <w:r>
              <w:t xml:space="preserve"> to reflect changes in the electric industry</w:t>
            </w:r>
            <w:r>
              <w:t xml:space="preserve"> and bring state law regulating that meter</w:t>
            </w:r>
            <w:r>
              <w:t>ing in line with other applicable state law</w:t>
            </w:r>
            <w:r>
              <w:t>.</w:t>
            </w:r>
          </w:p>
          <w:p w:rsidR="008423E4" w:rsidRPr="00E26B13" w:rsidRDefault="00EE247C" w:rsidP="00EE30D1">
            <w:pPr>
              <w:rPr>
                <w:b/>
              </w:rPr>
            </w:pPr>
          </w:p>
        </w:tc>
      </w:tr>
      <w:tr w:rsidR="00093C12" w:rsidTr="00345119">
        <w:tc>
          <w:tcPr>
            <w:tcW w:w="9576" w:type="dxa"/>
          </w:tcPr>
          <w:p w:rsidR="0017725B" w:rsidRDefault="00EE247C" w:rsidP="00EE3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247C" w:rsidP="00EE30D1">
            <w:pPr>
              <w:rPr>
                <w:b/>
                <w:u w:val="single"/>
              </w:rPr>
            </w:pPr>
          </w:p>
          <w:p w:rsidR="009150A1" w:rsidRPr="009150A1" w:rsidRDefault="00EE247C" w:rsidP="00EE30D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EE247C" w:rsidP="00EE30D1">
            <w:pPr>
              <w:rPr>
                <w:b/>
                <w:u w:val="single"/>
              </w:rPr>
            </w:pPr>
          </w:p>
        </w:tc>
      </w:tr>
      <w:tr w:rsidR="00093C12" w:rsidTr="00345119">
        <w:tc>
          <w:tcPr>
            <w:tcW w:w="9576" w:type="dxa"/>
          </w:tcPr>
          <w:p w:rsidR="008423E4" w:rsidRPr="00A8133F" w:rsidRDefault="00EE247C" w:rsidP="00EE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247C" w:rsidP="00EE30D1"/>
          <w:p w:rsidR="00B350E7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Utility Commission of Texas in SECTION 9 of this </w:t>
            </w:r>
            <w:r>
              <w:t>bill.</w:t>
            </w:r>
          </w:p>
          <w:p w:rsidR="008423E4" w:rsidRPr="00E21FDC" w:rsidRDefault="00EE247C" w:rsidP="00EE30D1">
            <w:pPr>
              <w:rPr>
                <w:b/>
              </w:rPr>
            </w:pPr>
          </w:p>
        </w:tc>
      </w:tr>
      <w:tr w:rsidR="00093C12" w:rsidTr="00345119">
        <w:tc>
          <w:tcPr>
            <w:tcW w:w="9576" w:type="dxa"/>
          </w:tcPr>
          <w:p w:rsidR="008423E4" w:rsidRPr="00A8133F" w:rsidRDefault="00EE247C" w:rsidP="00EE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247C" w:rsidP="00EE30D1"/>
          <w:p w:rsidR="009B12AE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2195 amends the Utilities Code to</w:t>
            </w:r>
            <w:r>
              <w:t xml:space="preserve"> </w:t>
            </w:r>
            <w:r>
              <w:t>revise provisions regulating electric and water metering to</w:t>
            </w:r>
            <w:r>
              <w:t xml:space="preserve"> make certain updates, including by</w:t>
            </w:r>
            <w:r>
              <w:t xml:space="preserve"> do</w:t>
            </w:r>
            <w:r>
              <w:t>ing</w:t>
            </w:r>
            <w:r>
              <w:t xml:space="preserve"> the following:</w:t>
            </w:r>
          </w:p>
          <w:p w:rsidR="00087FAC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22483C">
              <w:t>providing</w:t>
            </w:r>
            <w:r w:rsidRPr="0022483C">
              <w:t xml:space="preserve"> for a uniform definition of "apartment house</w:t>
            </w:r>
            <w:r>
              <w:t>,</w:t>
            </w:r>
            <w:r w:rsidRPr="0022483C">
              <w:t>"</w:t>
            </w:r>
            <w:r>
              <w:t xml:space="preserve"> "apartment house owner," and "dwelling unit," among other definitions</w:t>
            </w:r>
            <w:r w:rsidRPr="0022483C">
              <w:t>;</w:t>
            </w:r>
          </w:p>
          <w:p w:rsidR="003D4517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revising the definition of </w:t>
            </w:r>
            <w:r>
              <w:t>"</w:t>
            </w:r>
            <w:r>
              <w:t>utility</w:t>
            </w:r>
            <w:r>
              <w:t>"</w:t>
            </w:r>
            <w:r>
              <w:t xml:space="preserve"> as that term relates </w:t>
            </w:r>
            <w:r>
              <w:t xml:space="preserve">to </w:t>
            </w:r>
            <w:r>
              <w:t xml:space="preserve">electric and water metering </w:t>
            </w:r>
            <w:r w:rsidRPr="0022483C">
              <w:t>with respect to central system utilities</w:t>
            </w:r>
            <w:r>
              <w:t>;</w:t>
            </w:r>
          </w:p>
          <w:p w:rsidR="00087FAC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replacing references to </w:t>
            </w:r>
            <w:r>
              <w:t xml:space="preserve">a </w:t>
            </w:r>
            <w:r>
              <w:t>mobile home park with refer</w:t>
            </w:r>
            <w:r>
              <w:t xml:space="preserve">ences to </w:t>
            </w:r>
            <w:r>
              <w:t xml:space="preserve">a </w:t>
            </w:r>
            <w:r>
              <w:t>manufactured housing community</w:t>
            </w:r>
            <w:r w:rsidRPr="00E373E9">
              <w:t xml:space="preserve">, </w:t>
            </w:r>
            <w:r>
              <w:t>as defined</w:t>
            </w:r>
            <w:r w:rsidRPr="00E373E9">
              <w:t xml:space="preserve"> under </w:t>
            </w:r>
            <w:r w:rsidRPr="00801896">
              <w:t>Property Code provisions</w:t>
            </w:r>
            <w:r>
              <w:t xml:space="preserve"> relating to manufactured home tenancies</w:t>
            </w:r>
            <w:r>
              <w:t>;</w:t>
            </w:r>
          </w:p>
          <w:p w:rsidR="003D4517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replacing references to individual metering with references to separate metering;</w:t>
            </w:r>
          </w:p>
          <w:p w:rsidR="004E11ED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01896">
              <w:t>replacing references</w:t>
            </w:r>
            <w:r>
              <w:t xml:space="preserve"> to </w:t>
            </w:r>
            <w:r>
              <w:t xml:space="preserve">a </w:t>
            </w:r>
            <w:r>
              <w:t>supplying utility with</w:t>
            </w:r>
            <w:r>
              <w:t xml:space="preserve"> references to </w:t>
            </w:r>
            <w:r>
              <w:t xml:space="preserve">an </w:t>
            </w:r>
            <w:r>
              <w:t>electricity supplier</w:t>
            </w:r>
            <w:r>
              <w:t>, as defined by the bill,</w:t>
            </w:r>
            <w:r>
              <w:t xml:space="preserve"> for purposes relating to metering in recreational vehicle parks</w:t>
            </w:r>
            <w:r>
              <w:t xml:space="preserve">; </w:t>
            </w:r>
          </w:p>
          <w:p w:rsidR="00C4406D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373E9">
              <w:t>s</w:t>
            </w:r>
            <w:r w:rsidRPr="00E373E9">
              <w:t>ubjecting</w:t>
            </w:r>
            <w:r w:rsidRPr="00E373E9">
              <w:t xml:space="preserve"> an owner, operator, or manager of a manufactured housing community who installs individual meter</w:t>
            </w:r>
            <w:r w:rsidRPr="00801896">
              <w:t xml:space="preserve">s or submeters in the community to a requirement to provide for a certain rental rate reduction and </w:t>
            </w:r>
            <w:r>
              <w:t>related</w:t>
            </w:r>
            <w:r w:rsidRPr="00E373E9">
              <w:t xml:space="preserve"> refund if, not more than 90 days before that installation</w:t>
            </w:r>
            <w:r w:rsidRPr="00801896">
              <w:t>, the owner, operator, or manager implemented an increase in rental rates attributable to t</w:t>
            </w:r>
            <w:r w:rsidRPr="00801896">
              <w:t>he increased cost of utilities</w:t>
            </w:r>
            <w:r>
              <w:t>;</w:t>
            </w:r>
            <w:r>
              <w:t xml:space="preserve"> and</w:t>
            </w:r>
          </w:p>
          <w:p w:rsidR="00884A1F" w:rsidRDefault="00EE247C" w:rsidP="00EE30D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a </w:t>
            </w:r>
            <w:r>
              <w:t>person that is not regulated by the Public U</w:t>
            </w:r>
            <w:r>
              <w:t>tility Commission of Texas (PUC</w:t>
            </w:r>
            <w:r>
              <w:t xml:space="preserve">) under </w:t>
            </w:r>
            <w:r w:rsidRPr="00A91E18">
              <w:t>the Public Utility Regulatory Act</w:t>
            </w:r>
            <w:r>
              <w:t xml:space="preserve"> </w:t>
            </w:r>
            <w:r>
              <w:t>as an electric utility or a retail electric</w:t>
            </w:r>
            <w:r>
              <w:t xml:space="preserve"> provider for another activity </w:t>
            </w:r>
            <w:r>
              <w:t>from being cons</w:t>
            </w:r>
            <w:r>
              <w:t xml:space="preserve">idered to be an electric utility or a retail electric provider solely because the person provides electric service in accordance with </w:t>
            </w:r>
            <w:r>
              <w:t xml:space="preserve">provisions </w:t>
            </w:r>
            <w:r>
              <w:t xml:space="preserve">regulating </w:t>
            </w:r>
            <w:r>
              <w:t>electric and water</w:t>
            </w:r>
            <w:r>
              <w:t xml:space="preserve"> metering and PUC rules adopted under those provisions.</w:t>
            </w:r>
            <w:r>
              <w:t xml:space="preserve"> </w:t>
            </w:r>
          </w:p>
          <w:p w:rsidR="000D26DF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90477" w:rsidRDefault="00EE247C" w:rsidP="00EE30D1">
            <w:pPr>
              <w:pStyle w:val="Header"/>
              <w:jc w:val="both"/>
            </w:pPr>
            <w:r>
              <w:t>S.B. 2195</w:t>
            </w:r>
            <w:r>
              <w:t xml:space="preserve"> </w:t>
            </w:r>
            <w:r>
              <w:t>provides for t</w:t>
            </w:r>
            <w:r>
              <w:t xml:space="preserve">he </w:t>
            </w:r>
            <w:r w:rsidRPr="0022483C">
              <w:t>regulation of electric and water metering</w:t>
            </w:r>
            <w:r>
              <w:t xml:space="preserve"> in dwelling units and recreational vehicles that are not separately metered and that are located on a property that includes at least two of the following types of housing:</w:t>
            </w:r>
            <w:r>
              <w:t xml:space="preserve"> </w:t>
            </w:r>
            <w:r>
              <w:t>apartment houses</w:t>
            </w:r>
            <w:r>
              <w:t>,</w:t>
            </w:r>
            <w:r>
              <w:t xml:space="preserve"> </w:t>
            </w:r>
            <w:r>
              <w:t>manufactured homes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recreational vehicles. </w:t>
            </w:r>
            <w:r>
              <w:t>The bill</w:t>
            </w:r>
            <w:r>
              <w:t xml:space="preserve"> </w:t>
            </w:r>
            <w:r w:rsidRPr="0022483C">
              <w:t>does the following</w:t>
            </w:r>
            <w:r>
              <w:t xml:space="preserve"> </w:t>
            </w:r>
            <w:r>
              <w:t xml:space="preserve">with respect to </w:t>
            </w:r>
            <w:r w:rsidRPr="009F720A">
              <w:t>such mixed use facilities</w:t>
            </w:r>
            <w:r>
              <w:t>:</w:t>
            </w:r>
            <w:r>
              <w:t xml:space="preserve"> </w:t>
            </w:r>
          </w:p>
          <w:p w:rsidR="00190477" w:rsidRDefault="00EE247C" w:rsidP="00EE30D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subjects</w:t>
            </w:r>
            <w:r>
              <w:t xml:space="preserve"> </w:t>
            </w:r>
            <w:r>
              <w:t xml:space="preserve">a </w:t>
            </w:r>
            <w:r>
              <w:t xml:space="preserve">submetered </w:t>
            </w:r>
            <w:r>
              <w:t xml:space="preserve">dwelling unit to the metering and billing requirements applicable to </w:t>
            </w:r>
            <w:r w:rsidRPr="0022483C">
              <w:t>a</w:t>
            </w:r>
            <w:r w:rsidRPr="0022483C">
              <w:t>n</w:t>
            </w:r>
            <w:r w:rsidRPr="0022483C">
              <w:t xml:space="preserve"> </w:t>
            </w:r>
            <w:r w:rsidRPr="00E373E9">
              <w:t xml:space="preserve">apartment, condominium, </w:t>
            </w:r>
            <w:r w:rsidRPr="00E373E9">
              <w:t>or</w:t>
            </w:r>
            <w:r w:rsidRPr="00801896">
              <w:t xml:space="preserve"> </w:t>
            </w:r>
            <w:r w:rsidRPr="00801896">
              <w:t>manufactured housing community</w:t>
            </w:r>
            <w:r>
              <w:t>;</w:t>
            </w:r>
          </w:p>
          <w:p w:rsidR="00190477" w:rsidRDefault="00EE247C" w:rsidP="00EE30D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subjects a </w:t>
            </w:r>
            <w:r>
              <w:t xml:space="preserve">submetered </w:t>
            </w:r>
            <w:r>
              <w:t xml:space="preserve">recreational vehicle to </w:t>
            </w:r>
            <w:r>
              <w:t xml:space="preserve">the metering and billing requirements applicable to </w:t>
            </w:r>
            <w:r w:rsidRPr="0022483C">
              <w:t>a recreational vehicle</w:t>
            </w:r>
            <w:r w:rsidRPr="0022483C">
              <w:t xml:space="preserve"> in a recreational vehicle park</w:t>
            </w:r>
            <w:r>
              <w:t>;</w:t>
            </w:r>
          </w:p>
          <w:p w:rsidR="00190477" w:rsidRDefault="00EE247C" w:rsidP="00EE30D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authorizes the owner of a property that includes at least one submetered recreational vehicle and at least one submetered manufactured home to choose to apply the metering and billing requirements applicable </w:t>
            </w:r>
            <w:r w:rsidRPr="0022483C">
              <w:t xml:space="preserve">to </w:t>
            </w:r>
            <w:r w:rsidRPr="00E373E9">
              <w:t>an</w:t>
            </w:r>
            <w:r w:rsidRPr="00E373E9">
              <w:t xml:space="preserve"> apartment, condominium, </w:t>
            </w:r>
            <w:r w:rsidRPr="00E373E9">
              <w:t>or manufactured ho</w:t>
            </w:r>
            <w:r w:rsidRPr="00E373E9">
              <w:t>using community</w:t>
            </w:r>
            <w:r>
              <w:t xml:space="preserve"> to manufactured homes and recreational vehicles on the property;</w:t>
            </w:r>
            <w:r>
              <w:t xml:space="preserve"> and</w:t>
            </w:r>
          </w:p>
          <w:p w:rsidR="00D25116" w:rsidRDefault="00EE247C" w:rsidP="00EE30D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subjects a dwelling unit or recreational </w:t>
            </w:r>
            <w:r>
              <w:t xml:space="preserve">vehicle </w:t>
            </w:r>
            <w:r>
              <w:t xml:space="preserve">that is not submetered to the billing requirements </w:t>
            </w:r>
            <w:r w:rsidRPr="00E373E9">
              <w:t>for</w:t>
            </w:r>
            <w:r w:rsidRPr="00E373E9">
              <w:t xml:space="preserve"> </w:t>
            </w:r>
            <w:r w:rsidRPr="00E373E9">
              <w:t>central system utilities</w:t>
            </w:r>
            <w:r>
              <w:t xml:space="preserve">. </w:t>
            </w:r>
          </w:p>
          <w:p w:rsidR="006D0A4E" w:rsidRDefault="00EE247C" w:rsidP="00EE30D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requires </w:t>
            </w:r>
            <w:r w:rsidRPr="0022483C">
              <w:t>the PUC</w:t>
            </w:r>
            <w:r>
              <w:t xml:space="preserve"> to adopt rules</w:t>
            </w:r>
            <w:r>
              <w:t xml:space="preserve"> under which an owner of a property</w:t>
            </w:r>
            <w:r>
              <w:t xml:space="preserve"> that includes at least two of the specified housing types</w:t>
            </w:r>
            <w:r>
              <w:t xml:space="preserve"> may install submetering equipment to fairly allocate the cost of electric energy consumption of each dwelling unit or recreational vehicle.</w:t>
            </w:r>
          </w:p>
          <w:p w:rsidR="00BA1DD1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1DD1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2195 repeals the</w:t>
            </w:r>
            <w:r>
              <w:t xml:space="preserve"> following provisions of the Utilities Code:</w:t>
            </w:r>
          </w:p>
          <w:p w:rsidR="00BA1DD1" w:rsidRDefault="00EE247C" w:rsidP="00EE30D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184.011</w:t>
            </w:r>
          </w:p>
          <w:p w:rsidR="00BA1DD1" w:rsidRDefault="00EE247C" w:rsidP="00EE30D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184.031</w:t>
            </w:r>
          </w:p>
          <w:p w:rsidR="00BA1DD1" w:rsidRPr="00BA1DD1" w:rsidRDefault="00EE247C" w:rsidP="00EE30D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Sections 184.051(1), (2), and (5)</w:t>
            </w:r>
          </w:p>
          <w:p w:rsidR="00BA1DD1" w:rsidRPr="00835628" w:rsidRDefault="00EE247C" w:rsidP="00EE30D1">
            <w:pPr>
              <w:rPr>
                <w:b/>
              </w:rPr>
            </w:pPr>
          </w:p>
        </w:tc>
      </w:tr>
      <w:tr w:rsidR="00093C12" w:rsidTr="00345119">
        <w:tc>
          <w:tcPr>
            <w:tcW w:w="9576" w:type="dxa"/>
          </w:tcPr>
          <w:p w:rsidR="008423E4" w:rsidRPr="00A8133F" w:rsidRDefault="00EE247C" w:rsidP="00EE30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247C" w:rsidP="00EE30D1"/>
          <w:p w:rsidR="008423E4" w:rsidRPr="003624F2" w:rsidRDefault="00EE247C" w:rsidP="00EE30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E247C" w:rsidP="00EE30D1">
            <w:pPr>
              <w:rPr>
                <w:b/>
              </w:rPr>
            </w:pPr>
          </w:p>
        </w:tc>
      </w:tr>
    </w:tbl>
    <w:p w:rsidR="008423E4" w:rsidRPr="00BE0E75" w:rsidRDefault="00EE24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24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47C">
      <w:r>
        <w:separator/>
      </w:r>
    </w:p>
  </w:endnote>
  <w:endnote w:type="continuationSeparator" w:id="0">
    <w:p w:rsidR="00000000" w:rsidRDefault="00E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3C12" w:rsidTr="009C1E9A">
      <w:trPr>
        <w:cantSplit/>
      </w:trPr>
      <w:tc>
        <w:tcPr>
          <w:tcW w:w="0" w:type="pct"/>
        </w:tcPr>
        <w:p w:rsidR="00137D90" w:rsidRDefault="00EE24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24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24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24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24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12" w:rsidTr="009C1E9A">
      <w:trPr>
        <w:cantSplit/>
      </w:trPr>
      <w:tc>
        <w:tcPr>
          <w:tcW w:w="0" w:type="pct"/>
        </w:tcPr>
        <w:p w:rsidR="00EC379B" w:rsidRDefault="00EE24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24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34180</w:t>
          </w:r>
        </w:p>
      </w:tc>
      <w:tc>
        <w:tcPr>
          <w:tcW w:w="2453" w:type="pct"/>
        </w:tcPr>
        <w:p w:rsidR="00EC379B" w:rsidRDefault="00EE24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19.135.1309</w:t>
          </w:r>
          <w:r>
            <w:fldChar w:fldCharType="end"/>
          </w:r>
        </w:p>
      </w:tc>
    </w:tr>
    <w:tr w:rsidR="00093C12" w:rsidTr="009C1E9A">
      <w:trPr>
        <w:cantSplit/>
      </w:trPr>
      <w:tc>
        <w:tcPr>
          <w:tcW w:w="0" w:type="pct"/>
        </w:tcPr>
        <w:p w:rsidR="00EC379B" w:rsidRDefault="00EE24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24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247C" w:rsidP="006D504F">
          <w:pPr>
            <w:pStyle w:val="Footer"/>
            <w:rPr>
              <w:rStyle w:val="PageNumber"/>
            </w:rPr>
          </w:pPr>
        </w:p>
        <w:p w:rsidR="00EC379B" w:rsidRDefault="00EE24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C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24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E24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24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247C">
      <w:r>
        <w:separator/>
      </w:r>
    </w:p>
  </w:footnote>
  <w:footnote w:type="continuationSeparator" w:id="0">
    <w:p w:rsidR="00000000" w:rsidRDefault="00EE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2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E2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3E"/>
    <w:multiLevelType w:val="hybridMultilevel"/>
    <w:tmpl w:val="84F6448A"/>
    <w:lvl w:ilvl="0" w:tplc="B794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2B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45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E0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1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0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5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AE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42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9FC"/>
    <w:multiLevelType w:val="hybridMultilevel"/>
    <w:tmpl w:val="77E29AF2"/>
    <w:lvl w:ilvl="0" w:tplc="B5446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25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E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3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9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03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45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4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E3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1A7"/>
    <w:multiLevelType w:val="hybridMultilevel"/>
    <w:tmpl w:val="86ACFB0A"/>
    <w:lvl w:ilvl="0" w:tplc="1282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E9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64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20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E6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40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A1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60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02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52A"/>
    <w:multiLevelType w:val="hybridMultilevel"/>
    <w:tmpl w:val="61508DAA"/>
    <w:lvl w:ilvl="0" w:tplc="91505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42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C3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9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E9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8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4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E6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622E"/>
    <w:multiLevelType w:val="hybridMultilevel"/>
    <w:tmpl w:val="6EDA05D6"/>
    <w:lvl w:ilvl="0" w:tplc="54443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88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CE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5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EC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01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B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A0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B3976"/>
    <w:multiLevelType w:val="hybridMultilevel"/>
    <w:tmpl w:val="37CCFF72"/>
    <w:lvl w:ilvl="0" w:tplc="7BDC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E6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88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E6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0D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8E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A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A5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80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E5749"/>
    <w:multiLevelType w:val="hybridMultilevel"/>
    <w:tmpl w:val="BB1CC080"/>
    <w:lvl w:ilvl="0" w:tplc="1EF29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EA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81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CC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6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45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6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5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0F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632A"/>
    <w:multiLevelType w:val="hybridMultilevel"/>
    <w:tmpl w:val="33F00742"/>
    <w:lvl w:ilvl="0" w:tplc="3F5E6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0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07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21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CC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C7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8D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AB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03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3938"/>
    <w:multiLevelType w:val="hybridMultilevel"/>
    <w:tmpl w:val="D6B0C2BC"/>
    <w:lvl w:ilvl="0" w:tplc="54861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F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CC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3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AE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4E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C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6D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6FA3"/>
    <w:multiLevelType w:val="hybridMultilevel"/>
    <w:tmpl w:val="06BEFDEC"/>
    <w:lvl w:ilvl="0" w:tplc="33162086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62E6E22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9782E5AE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172BAE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578C40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B822F6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A471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6F8A6724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F9EBF5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2"/>
    <w:rsid w:val="00093C12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2DB4E7-A524-42A5-9329-86208EE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1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D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3899</Characters>
  <Application>Microsoft Office Word</Application>
  <DocSecurity>4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SB02195 (Committee Report (Unamended))</vt:lpstr>
    </vt:vector>
  </TitlesOfParts>
  <Company>State of Texas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34180</dc:subject>
  <dc:creator>State of Texas</dc:creator>
  <dc:description>SB 2195 by Lucio-(H)State Affairs</dc:description>
  <cp:lastModifiedBy>Scotty Wimberley</cp:lastModifiedBy>
  <cp:revision>2</cp:revision>
  <cp:lastPrinted>2003-11-26T17:21:00Z</cp:lastPrinted>
  <dcterms:created xsi:type="dcterms:W3CDTF">2019-05-16T14:09:00Z</dcterms:created>
  <dcterms:modified xsi:type="dcterms:W3CDTF">2019-05-16T14:09:00Z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19.135.1309</vt:lpwstr>
  </property>
</Properties>
</file>