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C5063" w:rsidTr="00345119">
        <w:tc>
          <w:tcPr>
            <w:tcW w:w="9576" w:type="dxa"/>
            <w:noWrap/>
          </w:tcPr>
          <w:p w:rsidR="008423E4" w:rsidRPr="0022177D" w:rsidRDefault="00EE628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E628E" w:rsidP="008423E4">
      <w:pPr>
        <w:jc w:val="center"/>
      </w:pPr>
    </w:p>
    <w:p w:rsidR="008423E4" w:rsidRPr="00B31F0E" w:rsidRDefault="00EE628E" w:rsidP="008423E4"/>
    <w:p w:rsidR="008423E4" w:rsidRPr="00742794" w:rsidRDefault="00EE62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C5063" w:rsidTr="00345119">
        <w:tc>
          <w:tcPr>
            <w:tcW w:w="9576" w:type="dxa"/>
          </w:tcPr>
          <w:p w:rsidR="008423E4" w:rsidRPr="00861995" w:rsidRDefault="00EE628E" w:rsidP="00345119">
            <w:pPr>
              <w:jc w:val="right"/>
            </w:pPr>
            <w:r>
              <w:t>S.B. 2223</w:t>
            </w:r>
          </w:p>
        </w:tc>
      </w:tr>
      <w:tr w:rsidR="00AC5063" w:rsidTr="00345119">
        <w:tc>
          <w:tcPr>
            <w:tcW w:w="9576" w:type="dxa"/>
          </w:tcPr>
          <w:p w:rsidR="008423E4" w:rsidRPr="00861995" w:rsidRDefault="00EE628E" w:rsidP="00CE61C9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AC5063" w:rsidTr="00345119">
        <w:tc>
          <w:tcPr>
            <w:tcW w:w="9576" w:type="dxa"/>
          </w:tcPr>
          <w:p w:rsidR="008423E4" w:rsidRPr="00861995" w:rsidRDefault="00EE628E" w:rsidP="00345119">
            <w:pPr>
              <w:jc w:val="right"/>
            </w:pPr>
            <w:r>
              <w:t>Transportation</w:t>
            </w:r>
          </w:p>
        </w:tc>
      </w:tr>
      <w:tr w:rsidR="00AC5063" w:rsidTr="00345119">
        <w:tc>
          <w:tcPr>
            <w:tcW w:w="9576" w:type="dxa"/>
          </w:tcPr>
          <w:p w:rsidR="008423E4" w:rsidRDefault="00EE628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E628E" w:rsidP="008423E4">
      <w:pPr>
        <w:tabs>
          <w:tab w:val="right" w:pos="9360"/>
        </w:tabs>
      </w:pPr>
    </w:p>
    <w:p w:rsidR="008423E4" w:rsidRDefault="00EE628E" w:rsidP="008423E4"/>
    <w:p w:rsidR="008423E4" w:rsidRDefault="00EE62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C5063" w:rsidTr="00345119">
        <w:tc>
          <w:tcPr>
            <w:tcW w:w="9576" w:type="dxa"/>
          </w:tcPr>
          <w:p w:rsidR="008423E4" w:rsidRPr="00A8133F" w:rsidRDefault="00EE628E" w:rsidP="00C470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E628E" w:rsidP="00C4707B"/>
          <w:p w:rsidR="008423E4" w:rsidRDefault="00EE628E" w:rsidP="00C4707B">
            <w:pPr>
              <w:pStyle w:val="Header"/>
              <w:jc w:val="both"/>
            </w:pPr>
            <w:r>
              <w:t>It has been noted that the</w:t>
            </w:r>
            <w:r>
              <w:t xml:space="preserve"> </w:t>
            </w:r>
            <w:r>
              <w:t>b</w:t>
            </w:r>
            <w:r>
              <w:t xml:space="preserve">oard of </w:t>
            </w:r>
            <w:r>
              <w:t>p</w:t>
            </w:r>
            <w:r>
              <w:t xml:space="preserve">ilot </w:t>
            </w:r>
            <w:r>
              <w:t>c</w:t>
            </w:r>
            <w:r>
              <w:t xml:space="preserve">ommissioners for </w:t>
            </w:r>
            <w:r>
              <w:t xml:space="preserve">the ports of </w:t>
            </w:r>
            <w:r>
              <w:t xml:space="preserve">Harris County is tasked with the licensing and regulation of vessels, pilots, and pilot services for Harris County </w:t>
            </w:r>
            <w:r>
              <w:t>p</w:t>
            </w:r>
            <w:r>
              <w:t xml:space="preserve">orts. </w:t>
            </w:r>
            <w:r>
              <w:t xml:space="preserve">While </w:t>
            </w:r>
            <w:r>
              <w:t xml:space="preserve">Harris County </w:t>
            </w:r>
            <w:r>
              <w:t>p</w:t>
            </w:r>
            <w:r>
              <w:t>orts and the board have been able to accommodate two-way vessel traffic under normal weather conditions without s</w:t>
            </w:r>
            <w:r>
              <w:t>ignificant interruption</w:t>
            </w:r>
            <w:r>
              <w:t>, r</w:t>
            </w:r>
            <w:r>
              <w:t xml:space="preserve">ecent developments in the shipping industry have resulted in increasingly larger vessels. Unfortunately, </w:t>
            </w:r>
            <w:r>
              <w:t xml:space="preserve">reports indicate that </w:t>
            </w:r>
            <w:r>
              <w:t xml:space="preserve">these larger vessels often cannot safely and efficiently access Harris County </w:t>
            </w:r>
            <w:r>
              <w:t>p</w:t>
            </w:r>
            <w:r>
              <w:t>orts while maintaining t</w:t>
            </w:r>
            <w:r>
              <w:t>wo-way traffic conditions, thereby causing unnecessary delays for many vessels.</w:t>
            </w:r>
            <w:r>
              <w:t xml:space="preserve"> </w:t>
            </w:r>
            <w:r>
              <w:t>S.B. 2223</w:t>
            </w:r>
            <w:r>
              <w:t xml:space="preserve"> </w:t>
            </w:r>
            <w:r>
              <w:t xml:space="preserve">seeks to ensure the safe and efficient provision of pilot services for pilots and vessels seeking to access Harris County </w:t>
            </w:r>
            <w:r>
              <w:t>p</w:t>
            </w:r>
            <w:r>
              <w:t>orts by limiting the size of vessels that m</w:t>
            </w:r>
            <w:r>
              <w:t xml:space="preserve">ay operate within the jurisdiction of the </w:t>
            </w:r>
            <w:r>
              <w:t>b</w:t>
            </w:r>
            <w:r>
              <w:t>oard</w:t>
            </w:r>
            <w:r>
              <w:t xml:space="preserve"> and by providing </w:t>
            </w:r>
            <w:r>
              <w:t xml:space="preserve">for navigation guidelines for the transit of </w:t>
            </w:r>
            <w:r>
              <w:t>vessel</w:t>
            </w:r>
            <w:r>
              <w:t>s</w:t>
            </w:r>
            <w:r>
              <w:t>.</w:t>
            </w:r>
          </w:p>
          <w:p w:rsidR="008423E4" w:rsidRPr="00E26B13" w:rsidRDefault="00EE628E" w:rsidP="00C4707B">
            <w:pPr>
              <w:rPr>
                <w:b/>
              </w:rPr>
            </w:pPr>
          </w:p>
        </w:tc>
      </w:tr>
      <w:tr w:rsidR="00AC5063" w:rsidTr="00345119">
        <w:tc>
          <w:tcPr>
            <w:tcW w:w="9576" w:type="dxa"/>
          </w:tcPr>
          <w:p w:rsidR="0017725B" w:rsidRDefault="00EE628E" w:rsidP="00C470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E628E" w:rsidP="00C4707B">
            <w:pPr>
              <w:rPr>
                <w:b/>
                <w:u w:val="single"/>
              </w:rPr>
            </w:pPr>
          </w:p>
          <w:p w:rsidR="003D35EE" w:rsidRPr="003D35EE" w:rsidRDefault="00EE628E" w:rsidP="00C4707B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E628E" w:rsidP="00C4707B">
            <w:pPr>
              <w:rPr>
                <w:b/>
                <w:u w:val="single"/>
              </w:rPr>
            </w:pPr>
          </w:p>
        </w:tc>
      </w:tr>
      <w:tr w:rsidR="00AC5063" w:rsidTr="00345119">
        <w:tc>
          <w:tcPr>
            <w:tcW w:w="9576" w:type="dxa"/>
          </w:tcPr>
          <w:p w:rsidR="008423E4" w:rsidRPr="00A8133F" w:rsidRDefault="00EE628E" w:rsidP="00C470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E628E" w:rsidP="00C4707B"/>
          <w:p w:rsidR="003D35EE" w:rsidRDefault="00EE628E" w:rsidP="00C470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EE628E" w:rsidP="00C4707B">
            <w:pPr>
              <w:rPr>
                <w:b/>
              </w:rPr>
            </w:pPr>
          </w:p>
        </w:tc>
      </w:tr>
      <w:tr w:rsidR="00AC5063" w:rsidTr="00345119">
        <w:tc>
          <w:tcPr>
            <w:tcW w:w="9576" w:type="dxa"/>
          </w:tcPr>
          <w:p w:rsidR="008423E4" w:rsidRPr="00A8133F" w:rsidRDefault="00EE628E" w:rsidP="00C470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E628E" w:rsidP="00C4707B"/>
          <w:p w:rsidR="00CB6AC3" w:rsidRDefault="00EE628E" w:rsidP="00C470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2223</w:t>
            </w:r>
            <w:r>
              <w:t xml:space="preserve"> </w:t>
            </w:r>
            <w:r>
              <w:t xml:space="preserve">amends the Transportation Code </w:t>
            </w:r>
            <w:r>
              <w:t>to</w:t>
            </w:r>
            <w:r w:rsidRPr="00B212F0">
              <w:t xml:space="preserve"> </w:t>
            </w:r>
            <w:r>
              <w:t>require</w:t>
            </w:r>
            <w:r w:rsidRPr="00B212F0">
              <w:t xml:space="preserve"> </w:t>
            </w:r>
            <w:r w:rsidRPr="00B212F0">
              <w:t xml:space="preserve">the board of pilot commissioners for the </w:t>
            </w:r>
            <w:r>
              <w:t xml:space="preserve">Harris County </w:t>
            </w:r>
            <w:r>
              <w:t>ports</w:t>
            </w:r>
            <w:r>
              <w:t xml:space="preserve"> </w:t>
            </w:r>
            <w:r>
              <w:t>by rule</w:t>
            </w:r>
            <w:r>
              <w:t xml:space="preserve"> </w:t>
            </w:r>
            <w:r>
              <w:t>to adopt navigation gui</w:t>
            </w:r>
            <w:r>
              <w:t>delines for the transit of vessels under the board's jurisdiction. The bill prohibits the rules from authorizing:</w:t>
            </w:r>
          </w:p>
          <w:p w:rsidR="00CB6AC3" w:rsidRDefault="00EE628E" w:rsidP="00C4707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more than one vessel per week for which one-way traffic has been imposed to call on a </w:t>
            </w:r>
            <w:r>
              <w:t>P</w:t>
            </w:r>
            <w:r>
              <w:t>ort</w:t>
            </w:r>
            <w:r>
              <w:t xml:space="preserve"> of Houston</w:t>
            </w:r>
            <w:r>
              <w:t xml:space="preserve"> </w:t>
            </w:r>
            <w:r>
              <w:t>A</w:t>
            </w:r>
            <w:r>
              <w:t>uthority terminal at Bayport or Barbour</w:t>
            </w:r>
            <w:r>
              <w:t>s Cut;</w:t>
            </w:r>
          </w:p>
          <w:p w:rsidR="00CB6AC3" w:rsidRDefault="00EE628E" w:rsidP="00C4707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more than one vessel for which one-way traffic has been imposed to call on or depart from </w:t>
            </w:r>
            <w:r>
              <w:t xml:space="preserve">a </w:t>
            </w:r>
            <w:r>
              <w:t>terminal on the same day; or</w:t>
            </w:r>
          </w:p>
          <w:p w:rsidR="00EC4BDE" w:rsidRDefault="00EE628E" w:rsidP="00C4707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passage of a vessel calling on </w:t>
            </w:r>
            <w:r>
              <w:t xml:space="preserve">a </w:t>
            </w:r>
            <w:r>
              <w:t>terminal that is not capable of turning around within the turning basin that serves the por</w:t>
            </w:r>
            <w:r>
              <w:t>t authority terminal on which the vessel calls.</w:t>
            </w:r>
          </w:p>
          <w:p w:rsidR="00B212F0" w:rsidRDefault="00EE628E" w:rsidP="00C4707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bill </w:t>
            </w:r>
            <w:r>
              <w:t xml:space="preserve">defines "one-way traffic" </w:t>
            </w:r>
            <w:r>
              <w:t xml:space="preserve">as </w:t>
            </w:r>
            <w:r w:rsidRPr="003B5B92">
              <w:t>a limitation on any part of the area where Galveston Bay reaches the Houston Ship Channel, including the channel immediately north of Morgan's Point, where the meeting, t</w:t>
            </w:r>
            <w:r w:rsidRPr="003B5B92">
              <w:t>urnaround, and overtaking of any ships are prohibited</w:t>
            </w:r>
            <w:r>
              <w:t>. The bill</w:t>
            </w:r>
            <w:r>
              <w:t xml:space="preserve"> </w:t>
            </w:r>
            <w:r>
              <w:t xml:space="preserve">exempts from rules one-way traffic governed by an authorization issued by the U.S. Coast Guard, a dredging vessel, or a vessel operated by military forces personnel </w:t>
            </w:r>
            <w:r>
              <w:t>and</w:t>
            </w:r>
            <w:r>
              <w:t xml:space="preserve"> one-way traffic that occurs between Morgan's Point and the Houston Turning Basin.</w:t>
            </w:r>
            <w:r>
              <w:t xml:space="preserve"> </w:t>
            </w:r>
            <w:r w:rsidRPr="00B212F0">
              <w:t xml:space="preserve">The bill authorizes the executive director of the </w:t>
            </w:r>
            <w:r>
              <w:t xml:space="preserve">Port of Houston Authority </w:t>
            </w:r>
            <w:r w:rsidRPr="00B212F0">
              <w:t>to take any action necessary</w:t>
            </w:r>
            <w:r>
              <w:t>, including the execution and delivery of documents,</w:t>
            </w:r>
            <w:r w:rsidRPr="00B212F0">
              <w:t xml:space="preserve"> to carry out the</w:t>
            </w:r>
            <w:r w:rsidRPr="00B212F0">
              <w:t>se provisions, which expire August 31, 2021.</w:t>
            </w:r>
          </w:p>
          <w:p w:rsidR="00B212F0" w:rsidRDefault="00EE628E" w:rsidP="00C470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A34E4" w:rsidRDefault="00EE628E" w:rsidP="00C470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2223</w:t>
            </w:r>
            <w:r>
              <w:t xml:space="preserve"> </w:t>
            </w:r>
            <w:r>
              <w:t>set</w:t>
            </w:r>
            <w:r>
              <w:t>s</w:t>
            </w:r>
            <w:r>
              <w:t xml:space="preserve"> </w:t>
            </w:r>
            <w:r>
              <w:t xml:space="preserve">at 1,100 feet, to ensure safe and efficient pilot services, </w:t>
            </w:r>
            <w:r>
              <w:t xml:space="preserve">the maximum overall length of a vessel, including the bulbous bow, that may be piloted within the jurisdiction of the </w:t>
            </w:r>
            <w:r>
              <w:t>b</w:t>
            </w:r>
            <w:r w:rsidRPr="003D35EE">
              <w:t xml:space="preserve">oard of </w:t>
            </w:r>
            <w:r>
              <w:t>p</w:t>
            </w:r>
            <w:r w:rsidRPr="003D35EE">
              <w:t xml:space="preserve">ilot </w:t>
            </w:r>
            <w:r>
              <w:t>c</w:t>
            </w:r>
            <w:r w:rsidRPr="003D35EE">
              <w:t>o</w:t>
            </w:r>
            <w:r w:rsidRPr="003D35EE">
              <w:t>mmissioners for the Harris County</w:t>
            </w:r>
            <w:r>
              <w:t xml:space="preserve"> ports</w:t>
            </w:r>
            <w:r>
              <w:t xml:space="preserve">. The bill authorizes the board </w:t>
            </w:r>
            <w:r>
              <w:t>by rule to</w:t>
            </w:r>
            <w:r>
              <w:t xml:space="preserve"> </w:t>
            </w:r>
            <w:r w:rsidRPr="003D2293">
              <w:t>authoriz</w:t>
            </w:r>
            <w:r>
              <w:t>e</w:t>
            </w:r>
            <w:r w:rsidRPr="003D2293">
              <w:t xml:space="preserve"> piloting </w:t>
            </w:r>
            <w:r>
              <w:t>a</w:t>
            </w:r>
            <w:r w:rsidRPr="003D2293">
              <w:t xml:space="preserve"> vessel with a</w:t>
            </w:r>
            <w:r>
              <w:t>n</w:t>
            </w:r>
            <w:r w:rsidRPr="003D2293">
              <w:t xml:space="preserve"> overall length that exceeds </w:t>
            </w:r>
            <w:r>
              <w:t>1,100 feet</w:t>
            </w:r>
            <w:r w:rsidRPr="003D2293">
              <w:t xml:space="preserve"> if the board determines</w:t>
            </w:r>
            <w:r>
              <w:t xml:space="preserve"> that the proposed rules would allow two-way routes to be maintained efficie</w:t>
            </w:r>
            <w:r>
              <w:t>ntly and two-way traffic to be conducted efficiently</w:t>
            </w:r>
            <w:r w:rsidRPr="003D2293">
              <w:t>.</w:t>
            </w:r>
            <w:r>
              <w:t xml:space="preserve"> The bill </w:t>
            </w:r>
            <w:r>
              <w:t xml:space="preserve">defines "two-way route" and "two-way traffic" and </w:t>
            </w:r>
            <w:r>
              <w:t xml:space="preserve">requires the board, </w:t>
            </w:r>
            <w:r>
              <w:t xml:space="preserve">before adopting </w:t>
            </w:r>
            <w:r>
              <w:t>any such rules, to conduct at least two public hearings.</w:t>
            </w:r>
            <w:r>
              <w:t xml:space="preserve"> These provisions </w:t>
            </w:r>
            <w:r>
              <w:t>do not apply to the adoption of r</w:t>
            </w:r>
            <w:r>
              <w:t>ules governing vessel traffic between Morgan's Point and the Houston Turning Basin</w:t>
            </w:r>
            <w:r>
              <w:t xml:space="preserve">. The bill includes minimizing the interference of two-way routes among the purposes for which the board </w:t>
            </w:r>
            <w:r>
              <w:t>is required</w:t>
            </w:r>
            <w:r>
              <w:t xml:space="preserve"> </w:t>
            </w:r>
            <w:r>
              <w:t xml:space="preserve">to </w:t>
            </w:r>
            <w:r>
              <w:t>adopt rules and issue orders to pilots or vessels</w:t>
            </w:r>
            <w:r>
              <w:t>. The</w:t>
            </w:r>
            <w:r>
              <w:t>se provisions</w:t>
            </w:r>
            <w:r>
              <w:t xml:space="preserve"> </w:t>
            </w:r>
            <w:r>
              <w:t>take effect September 1, 2021.</w:t>
            </w:r>
          </w:p>
          <w:p w:rsidR="00A20B96" w:rsidRDefault="00EE628E" w:rsidP="00C470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20B96" w:rsidRDefault="00EE628E" w:rsidP="00C470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2223 </w:t>
            </w:r>
            <w:r>
              <w:t>conditions</w:t>
            </w:r>
            <w:r>
              <w:t xml:space="preserve"> the </w:t>
            </w:r>
            <w:r>
              <w:t xml:space="preserve">board's </w:t>
            </w:r>
            <w:r>
              <w:t>adoption of rules under the Houston Pilots Licensing and Regulatory Act involving ship movement strategies</w:t>
            </w:r>
            <w:r>
              <w:t xml:space="preserve">, including navigation safety guidelines, for use by pilots in the navigable water in Texas on </w:t>
            </w:r>
            <w:r>
              <w:t>a</w:t>
            </w:r>
            <w:r>
              <w:t xml:space="preserve"> </w:t>
            </w:r>
            <w:r>
              <w:t xml:space="preserve">recommendation from </w:t>
            </w:r>
            <w:r>
              <w:t>a minimum of</w:t>
            </w:r>
            <w:r>
              <w:t xml:space="preserve"> 80 percent of the pilots authorized to operate under the board's jurisdiction</w:t>
            </w:r>
            <w:r>
              <w:t>.</w:t>
            </w:r>
          </w:p>
          <w:p w:rsidR="00EE5294" w:rsidRDefault="00EE628E" w:rsidP="00C470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D2293" w:rsidRDefault="00EE628E" w:rsidP="00C470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2223</w:t>
            </w:r>
            <w:r>
              <w:t xml:space="preserve"> amends the Special District Local Laws Code</w:t>
            </w:r>
            <w:r>
              <w:t>, effective September 1, 2021,</w:t>
            </w:r>
            <w:r>
              <w:t xml:space="preserve"> </w:t>
            </w:r>
            <w:r>
              <w:t xml:space="preserve">to remove </w:t>
            </w:r>
            <w:r>
              <w:t xml:space="preserve">the requirement for the Port of Houston Authority commissioner training </w:t>
            </w:r>
            <w:r>
              <w:t xml:space="preserve">program to provide </w:t>
            </w:r>
            <w:r>
              <w:t xml:space="preserve">information regarding </w:t>
            </w:r>
            <w:r w:rsidRPr="006D6BBD">
              <w:t xml:space="preserve">the duties of the </w:t>
            </w:r>
            <w:r>
              <w:t>navigation and canal</w:t>
            </w:r>
            <w:r w:rsidRPr="006D6BBD">
              <w:t xml:space="preserve"> commission as the </w:t>
            </w:r>
            <w:r>
              <w:t>b</w:t>
            </w:r>
            <w:r>
              <w:t>oard o</w:t>
            </w:r>
            <w:r w:rsidRPr="006D6BBD">
              <w:t xml:space="preserve">f </w:t>
            </w:r>
            <w:r>
              <w:t>p</w:t>
            </w:r>
            <w:r w:rsidRPr="006D6BBD">
              <w:t xml:space="preserve">ilot </w:t>
            </w:r>
            <w:r>
              <w:t>c</w:t>
            </w:r>
            <w:r w:rsidRPr="006D6BBD">
              <w:t xml:space="preserve">ommissioners for </w:t>
            </w:r>
            <w:r>
              <w:t xml:space="preserve">the </w:t>
            </w:r>
            <w:r w:rsidRPr="006D6BBD">
              <w:t>Harris County</w:t>
            </w:r>
            <w:r>
              <w:t xml:space="preserve"> ports</w:t>
            </w:r>
            <w:r w:rsidRPr="006D6BBD">
              <w:t xml:space="preserve"> under </w:t>
            </w:r>
            <w:r>
              <w:t>the Houston Pilots Licensing and Regulatory Act.</w:t>
            </w:r>
            <w:r>
              <w:t xml:space="preserve">   </w:t>
            </w:r>
          </w:p>
          <w:p w:rsidR="00523B9A" w:rsidRPr="00835628" w:rsidRDefault="00EE628E" w:rsidP="00C4707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C5063" w:rsidTr="00345119">
        <w:tc>
          <w:tcPr>
            <w:tcW w:w="9576" w:type="dxa"/>
          </w:tcPr>
          <w:p w:rsidR="008423E4" w:rsidRPr="00A8133F" w:rsidRDefault="00EE628E" w:rsidP="00C470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E628E" w:rsidP="00C4707B"/>
          <w:p w:rsidR="00EC6D57" w:rsidRDefault="00EE628E" w:rsidP="00C470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>
              <w:t>September 1, 2019.</w:t>
            </w:r>
          </w:p>
          <w:p w:rsidR="008423E4" w:rsidRPr="00233FDB" w:rsidRDefault="00EE628E" w:rsidP="00C4707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C5063" w:rsidTr="00345119">
        <w:tc>
          <w:tcPr>
            <w:tcW w:w="9576" w:type="dxa"/>
          </w:tcPr>
          <w:p w:rsidR="00F873D2" w:rsidRPr="006F501E" w:rsidRDefault="00EE628E" w:rsidP="00C4707B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EE628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E628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628E">
      <w:r>
        <w:separator/>
      </w:r>
    </w:p>
  </w:endnote>
  <w:endnote w:type="continuationSeparator" w:id="0">
    <w:p w:rsidR="00000000" w:rsidRDefault="00EE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47" w:rsidRDefault="00EE6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C5063" w:rsidTr="009C1E9A">
      <w:trPr>
        <w:cantSplit/>
      </w:trPr>
      <w:tc>
        <w:tcPr>
          <w:tcW w:w="0" w:type="pct"/>
        </w:tcPr>
        <w:p w:rsidR="00137D90" w:rsidRDefault="00EE62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E62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E62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E62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E62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5063" w:rsidTr="009C1E9A">
      <w:trPr>
        <w:cantSplit/>
      </w:trPr>
      <w:tc>
        <w:tcPr>
          <w:tcW w:w="0" w:type="pct"/>
        </w:tcPr>
        <w:p w:rsidR="00EC379B" w:rsidRDefault="00EE62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E62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31441</w:t>
          </w:r>
        </w:p>
      </w:tc>
      <w:tc>
        <w:tcPr>
          <w:tcW w:w="2453" w:type="pct"/>
        </w:tcPr>
        <w:p w:rsidR="00EC379B" w:rsidRDefault="00EE62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19.122.453</w:t>
          </w:r>
          <w:r>
            <w:fldChar w:fldCharType="end"/>
          </w:r>
        </w:p>
      </w:tc>
    </w:tr>
    <w:tr w:rsidR="00AC5063" w:rsidTr="009C1E9A">
      <w:trPr>
        <w:cantSplit/>
      </w:trPr>
      <w:tc>
        <w:tcPr>
          <w:tcW w:w="0" w:type="pct"/>
        </w:tcPr>
        <w:p w:rsidR="00EC379B" w:rsidRDefault="00EE62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E62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E628E" w:rsidP="006D504F">
          <w:pPr>
            <w:pStyle w:val="Footer"/>
            <w:rPr>
              <w:rStyle w:val="PageNumber"/>
            </w:rPr>
          </w:pPr>
        </w:p>
        <w:p w:rsidR="00EC379B" w:rsidRDefault="00EE62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506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E62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E62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E62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47" w:rsidRDefault="00EE6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628E">
      <w:r>
        <w:separator/>
      </w:r>
    </w:p>
  </w:footnote>
  <w:footnote w:type="continuationSeparator" w:id="0">
    <w:p w:rsidR="00000000" w:rsidRDefault="00EE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47" w:rsidRDefault="00EE6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47" w:rsidRDefault="00EE6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47" w:rsidRDefault="00EE6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C378F"/>
    <w:multiLevelType w:val="hybridMultilevel"/>
    <w:tmpl w:val="33189320"/>
    <w:lvl w:ilvl="0" w:tplc="8ECA695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B05A0A22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FC0468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8C54F9BA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7EA557C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A60BA18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A914E3E2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E96ECA4C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71F40EFE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63"/>
    <w:rsid w:val="00AC5063"/>
    <w:rsid w:val="00E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A166BB-E5BC-4EB4-8EA6-C945A9E2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6B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6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6B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6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6BBD"/>
    <w:rPr>
      <w:b/>
      <w:bCs/>
    </w:rPr>
  </w:style>
  <w:style w:type="paragraph" w:styleId="Revision">
    <w:name w:val="Revision"/>
    <w:hidden/>
    <w:uiPriority w:val="99"/>
    <w:semiHidden/>
    <w:rsid w:val="002E36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4062</Characters>
  <Application>Microsoft Office Word</Application>
  <DocSecurity>4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SB02223 (Committee Report (Unamended))</vt:lpstr>
    </vt:vector>
  </TitlesOfParts>
  <Company>State of Texas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31441</dc:subject>
  <dc:creator>State of Texas</dc:creator>
  <dc:description>SB 2223 by Creighton-(H)Transportation</dc:description>
  <cp:lastModifiedBy>Erin Conway</cp:lastModifiedBy>
  <cp:revision>2</cp:revision>
  <cp:lastPrinted>2003-11-26T17:21:00Z</cp:lastPrinted>
  <dcterms:created xsi:type="dcterms:W3CDTF">2019-05-07T17:34:00Z</dcterms:created>
  <dcterms:modified xsi:type="dcterms:W3CDTF">2019-05-07T17:34:00Z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19.122.453</vt:lpwstr>
  </property>
</Properties>
</file>