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1B7A3A" w:rsidTr="00345119">
        <w:tc>
          <w:tcPr>
            <w:tcW w:w="9576" w:type="dxa"/>
            <w:noWrap/>
          </w:tcPr>
          <w:p w:rsidR="008423E4" w:rsidRPr="0022177D" w:rsidRDefault="00906D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906DD0" w:rsidP="008423E4">
      <w:pPr>
        <w:jc w:val="center"/>
      </w:pPr>
    </w:p>
    <w:p w:rsidR="008423E4" w:rsidRPr="00B31F0E" w:rsidRDefault="00906DD0" w:rsidP="008423E4"/>
    <w:p w:rsidR="008423E4" w:rsidRPr="00742794" w:rsidRDefault="00906D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1B7A3A" w:rsidTr="00345119">
        <w:tc>
          <w:tcPr>
            <w:tcW w:w="9576" w:type="dxa"/>
          </w:tcPr>
          <w:p w:rsidR="008423E4" w:rsidRPr="00861995" w:rsidRDefault="00906DD0" w:rsidP="00392B65">
            <w:pPr>
              <w:jc w:val="right"/>
            </w:pPr>
            <w:r>
              <w:t>S.B. 2285</w:t>
            </w:r>
          </w:p>
        </w:tc>
      </w:tr>
      <w:tr w:rsidR="001B7A3A" w:rsidTr="00345119">
        <w:tc>
          <w:tcPr>
            <w:tcW w:w="9576" w:type="dxa"/>
          </w:tcPr>
          <w:p w:rsidR="008423E4" w:rsidRPr="00861995" w:rsidRDefault="00906DD0" w:rsidP="00F14007">
            <w:pPr>
              <w:jc w:val="right"/>
            </w:pPr>
            <w:r>
              <w:t xml:space="preserve">By: </w:t>
            </w:r>
            <w:r>
              <w:t>Fallon</w:t>
            </w:r>
          </w:p>
        </w:tc>
      </w:tr>
      <w:tr w:rsidR="001B7A3A" w:rsidTr="00345119">
        <w:tc>
          <w:tcPr>
            <w:tcW w:w="9576" w:type="dxa"/>
          </w:tcPr>
          <w:p w:rsidR="008423E4" w:rsidRPr="00861995" w:rsidRDefault="00906DD0" w:rsidP="00392B65">
            <w:pPr>
              <w:jc w:val="right"/>
            </w:pPr>
            <w:r>
              <w:t>Public Education</w:t>
            </w:r>
          </w:p>
        </w:tc>
      </w:tr>
      <w:tr w:rsidR="001B7A3A" w:rsidTr="00345119">
        <w:tc>
          <w:tcPr>
            <w:tcW w:w="9576" w:type="dxa"/>
          </w:tcPr>
          <w:p w:rsidR="008423E4" w:rsidRDefault="00906DD0" w:rsidP="00392B65">
            <w:pPr>
              <w:jc w:val="right"/>
            </w:pPr>
            <w:r>
              <w:t>Committee Report (Unamended)</w:t>
            </w:r>
          </w:p>
        </w:tc>
      </w:tr>
    </w:tbl>
    <w:p w:rsidR="008423E4" w:rsidRDefault="00906DD0" w:rsidP="008423E4">
      <w:pPr>
        <w:tabs>
          <w:tab w:val="right" w:pos="9360"/>
        </w:tabs>
      </w:pPr>
    </w:p>
    <w:p w:rsidR="008423E4" w:rsidRDefault="00906DD0" w:rsidP="008423E4"/>
    <w:p w:rsidR="008423E4" w:rsidRDefault="00906D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1B7A3A" w:rsidTr="00345119">
        <w:tc>
          <w:tcPr>
            <w:tcW w:w="9576" w:type="dxa"/>
          </w:tcPr>
          <w:p w:rsidR="008423E4" w:rsidRPr="00A8133F" w:rsidRDefault="00906DD0" w:rsidP="00416164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906DD0" w:rsidP="00416164"/>
          <w:p w:rsidR="008423E4" w:rsidRDefault="00906DD0" w:rsidP="0041616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  <w:r>
              <w:t>Concerns have been raised</w:t>
            </w:r>
            <w:r>
              <w:t xml:space="preserve"> that</w:t>
            </w:r>
            <w:r>
              <w:t xml:space="preserve"> the current process for challenging a </w:t>
            </w:r>
            <w:r w:rsidRPr="00156D08">
              <w:t xml:space="preserve">Texas Education Agency decision relating to an academic performance </w:t>
            </w:r>
            <w:r w:rsidRPr="00156D08">
              <w:t>rating or determination or financial accountability rating</w:t>
            </w:r>
            <w:r>
              <w:t xml:space="preserve"> does not allow for adequate</w:t>
            </w:r>
            <w:r>
              <w:t xml:space="preserve"> consideration of </w:t>
            </w:r>
            <w:r>
              <w:t>a data or calculation error</w:t>
            </w:r>
            <w:r>
              <w:t xml:space="preserve"> or inaccuracy</w:t>
            </w:r>
            <w:r>
              <w:t xml:space="preserve"> attributable to a school, even if </w:t>
            </w:r>
            <w:r>
              <w:t xml:space="preserve">the necessary </w:t>
            </w:r>
            <w:r>
              <w:t xml:space="preserve">correction would result in a higher accountability rating. </w:t>
            </w:r>
            <w:r>
              <w:t>S.B</w:t>
            </w:r>
            <w:r>
              <w:t>. 2285</w:t>
            </w:r>
            <w:r>
              <w:t xml:space="preserve"> seeks to</w:t>
            </w:r>
            <w:r>
              <w:t xml:space="preserve"> address these concerns by setting out provisions relating </w:t>
            </w:r>
            <w:r w:rsidRPr="00EE524A">
              <w:t xml:space="preserve">to challenges by </w:t>
            </w:r>
            <w:r>
              <w:t xml:space="preserve">public </w:t>
            </w:r>
            <w:r w:rsidRPr="00EE524A">
              <w:t>school districts and open-enrollment charter schools to accountability determinations</w:t>
            </w:r>
            <w:r>
              <w:t xml:space="preserve"> </w:t>
            </w:r>
            <w:r>
              <w:t>in o</w:t>
            </w:r>
            <w:r>
              <w:t>rder</w:t>
            </w:r>
            <w:r>
              <w:t xml:space="preserve"> to </w:t>
            </w:r>
            <w:r>
              <w:t xml:space="preserve">ensure that </w:t>
            </w:r>
            <w:r>
              <w:t xml:space="preserve">an </w:t>
            </w:r>
            <w:r>
              <w:t xml:space="preserve">accountability </w:t>
            </w:r>
            <w:r>
              <w:t xml:space="preserve">determination </w:t>
            </w:r>
            <w:r>
              <w:t>accurately refle</w:t>
            </w:r>
            <w:r>
              <w:t>ct</w:t>
            </w:r>
            <w:r>
              <w:t>s</w:t>
            </w:r>
            <w:r>
              <w:t xml:space="preserve"> </w:t>
            </w:r>
            <w:r>
              <w:t>a</w:t>
            </w:r>
            <w:r>
              <w:t xml:space="preserve"> </w:t>
            </w:r>
            <w:r>
              <w:t xml:space="preserve">school's </w:t>
            </w:r>
            <w:r>
              <w:t>true performance and not a data</w:t>
            </w:r>
            <w:r>
              <w:t xml:space="preserve"> </w:t>
            </w:r>
            <w:r>
              <w:t xml:space="preserve">entry error. </w:t>
            </w:r>
          </w:p>
          <w:p w:rsidR="00EE524A" w:rsidRPr="00E26B13" w:rsidRDefault="00906DD0" w:rsidP="00416164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</w:rPr>
            </w:pPr>
          </w:p>
        </w:tc>
      </w:tr>
      <w:tr w:rsidR="001B7A3A" w:rsidTr="00345119">
        <w:tc>
          <w:tcPr>
            <w:tcW w:w="9576" w:type="dxa"/>
          </w:tcPr>
          <w:p w:rsidR="0017725B" w:rsidRDefault="00906DD0" w:rsidP="0041616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906DD0" w:rsidP="00416164">
            <w:pPr>
              <w:rPr>
                <w:b/>
                <w:u w:val="single"/>
              </w:rPr>
            </w:pPr>
          </w:p>
          <w:p w:rsidR="002B5F19" w:rsidRPr="002B5F19" w:rsidRDefault="00906DD0" w:rsidP="00416164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906DD0" w:rsidP="00416164">
            <w:pPr>
              <w:rPr>
                <w:b/>
                <w:u w:val="single"/>
              </w:rPr>
            </w:pPr>
          </w:p>
        </w:tc>
      </w:tr>
      <w:tr w:rsidR="001B7A3A" w:rsidTr="00345119">
        <w:tc>
          <w:tcPr>
            <w:tcW w:w="9576" w:type="dxa"/>
          </w:tcPr>
          <w:p w:rsidR="008423E4" w:rsidRPr="00A8133F" w:rsidRDefault="00906DD0" w:rsidP="00416164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906DD0" w:rsidP="00416164"/>
          <w:p w:rsidR="002B5F19" w:rsidRDefault="00906DD0" w:rsidP="004161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</w:t>
            </w:r>
            <w:r>
              <w:t>er, department, agency, or institution.</w:t>
            </w:r>
          </w:p>
          <w:p w:rsidR="008423E4" w:rsidRPr="00E21FDC" w:rsidRDefault="00906DD0" w:rsidP="00416164">
            <w:pPr>
              <w:rPr>
                <w:b/>
              </w:rPr>
            </w:pPr>
          </w:p>
        </w:tc>
      </w:tr>
      <w:tr w:rsidR="001B7A3A" w:rsidTr="00345119">
        <w:tc>
          <w:tcPr>
            <w:tcW w:w="9576" w:type="dxa"/>
          </w:tcPr>
          <w:p w:rsidR="008423E4" w:rsidRPr="00A8133F" w:rsidRDefault="00906DD0" w:rsidP="00416164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906DD0" w:rsidP="00416164"/>
          <w:p w:rsidR="00EE0A19" w:rsidRDefault="00906DD0" w:rsidP="00416164">
            <w:pPr>
              <w:pStyle w:val="Header"/>
              <w:jc w:val="both"/>
            </w:pPr>
            <w:r>
              <w:t>S.B. 2285</w:t>
            </w:r>
            <w:r>
              <w:t xml:space="preserve"> </w:t>
            </w:r>
            <w:r>
              <w:t>amends the Education Code to require a committee appointed by the commissioner of education to make recommendations to the commissioner on a challenge made by a public school district or open-enrollment charter school to a Texas Education Agency decision r</w:t>
            </w:r>
            <w:r>
              <w:t>elating to an academic performance rating or determination or a financial accountability rating to review the challenge regardless of the issue identified in the challenge by the district or charter school. The bill</w:t>
            </w:r>
            <w:r>
              <w:t>:</w:t>
            </w:r>
          </w:p>
          <w:p w:rsidR="00EE0A19" w:rsidRDefault="00906DD0" w:rsidP="0041616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prohibits the commissioner from limitin</w:t>
            </w:r>
            <w:r>
              <w:t xml:space="preserve">g a challenge relating to a data or calculation error </w:t>
            </w:r>
            <w:r>
              <w:t>if the district or charter school demonstrates in writing that the error was identified before July 1 of the year ratings are released, even if the challenge demonstrates the data or calculation error i</w:t>
            </w:r>
            <w:r>
              <w:t>s</w:t>
            </w:r>
            <w:r>
              <w:t xml:space="preserve"> attributable to the district or charter school</w:t>
            </w:r>
            <w:r>
              <w:t xml:space="preserve"> or </w:t>
            </w:r>
            <w:r>
              <w:t>caused the district or charter school to have a lower academic or financial accountability rating;</w:t>
            </w:r>
          </w:p>
          <w:p w:rsidR="000E31DF" w:rsidRDefault="00906DD0" w:rsidP="0041616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>r</w:t>
            </w:r>
            <w:r>
              <w:t xml:space="preserve">equires the commissioner </w:t>
            </w:r>
            <w:r>
              <w:t xml:space="preserve">in such a circumstance </w:t>
            </w:r>
            <w:r>
              <w:t>to assign the district or charter school the corrected r</w:t>
            </w:r>
            <w:r>
              <w:t>ating or to indicate that the district or charter school will not be rated for that school year</w:t>
            </w:r>
            <w:r>
              <w:t>; and</w:t>
            </w:r>
          </w:p>
          <w:p w:rsidR="000E31DF" w:rsidRDefault="00906DD0" w:rsidP="00416164">
            <w:pPr>
              <w:pStyle w:val="Header"/>
              <w:numPr>
                <w:ilvl w:val="0"/>
                <w:numId w:val="1"/>
              </w:numPr>
              <w:spacing w:before="120" w:after="120"/>
              <w:jc w:val="both"/>
            </w:pPr>
            <w:r>
              <w:t xml:space="preserve">establishes that </w:t>
            </w:r>
            <w:r>
              <w:t xml:space="preserve">for a year in which a district or charter school is not rated because of an applicable error, </w:t>
            </w:r>
            <w:r>
              <w:t>the school year is not</w:t>
            </w:r>
            <w:r>
              <w:t>:</w:t>
            </w:r>
          </w:p>
          <w:p w:rsidR="000E31DF" w:rsidRDefault="00906DD0" w:rsidP="00416164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>included in calculat</w:t>
            </w:r>
            <w:r>
              <w:t>ing consecutive school years</w:t>
            </w:r>
            <w:r>
              <w:t xml:space="preserve"> for purposes of </w:t>
            </w:r>
            <w:r>
              <w:t xml:space="preserve">statutory provisions relating to </w:t>
            </w:r>
            <w:r>
              <w:t xml:space="preserve">the </w:t>
            </w:r>
            <w:r>
              <w:t xml:space="preserve">denial of </w:t>
            </w:r>
            <w:r>
              <w:t xml:space="preserve">open-enrollment </w:t>
            </w:r>
            <w:r>
              <w:t>charter renewal</w:t>
            </w:r>
            <w:r>
              <w:t xml:space="preserve"> on grounds of certain unacceptable performance ratings</w:t>
            </w:r>
            <w:r>
              <w:t xml:space="preserve">, the </w:t>
            </w:r>
            <w:r>
              <w:t>revocation</w:t>
            </w:r>
            <w:r>
              <w:t xml:space="preserve"> of such a charter on such grounds</w:t>
            </w:r>
            <w:r>
              <w:t xml:space="preserve">, </w:t>
            </w:r>
            <w:r>
              <w:t xml:space="preserve">the public school </w:t>
            </w:r>
            <w:r>
              <w:t>accountability system,</w:t>
            </w:r>
            <w:r>
              <w:t xml:space="preserve"> or </w:t>
            </w:r>
            <w:r>
              <w:t xml:space="preserve">public school </w:t>
            </w:r>
            <w:r>
              <w:t xml:space="preserve">accountability </w:t>
            </w:r>
            <w:r>
              <w:t>interventions and sanctions</w:t>
            </w:r>
            <w:r>
              <w:t>; or</w:t>
            </w:r>
            <w:r>
              <w:t xml:space="preserve"> </w:t>
            </w:r>
          </w:p>
          <w:p w:rsidR="000E31DF" w:rsidRDefault="00906DD0" w:rsidP="00416164">
            <w:pPr>
              <w:pStyle w:val="Header"/>
              <w:numPr>
                <w:ilvl w:val="1"/>
                <w:numId w:val="1"/>
              </w:numPr>
              <w:spacing w:before="120" w:after="120"/>
              <w:jc w:val="both"/>
            </w:pPr>
            <w:r>
              <w:t xml:space="preserve">considered a break in consecutive school years of unacceptable ratings for </w:t>
            </w:r>
            <w:r>
              <w:t xml:space="preserve">purposes of related </w:t>
            </w:r>
            <w:r>
              <w:t xml:space="preserve">sanctions or interventions. </w:t>
            </w:r>
          </w:p>
          <w:p w:rsidR="008423E4" w:rsidRDefault="00906DD0" w:rsidP="00416164">
            <w:pPr>
              <w:pStyle w:val="Header"/>
              <w:jc w:val="both"/>
            </w:pPr>
            <w:r>
              <w:t xml:space="preserve">The </w:t>
            </w:r>
            <w:r>
              <w:t>bill applies beginning with the 2019</w:t>
            </w:r>
            <w:r>
              <w:t>-</w:t>
            </w:r>
            <w:r>
              <w:t>202</w:t>
            </w:r>
            <w:r>
              <w:t xml:space="preserve">0 </w:t>
            </w:r>
            <w:r>
              <w:t>school year.</w:t>
            </w:r>
          </w:p>
          <w:p w:rsidR="008423E4" w:rsidRPr="00835628" w:rsidRDefault="00906DD0" w:rsidP="00416164">
            <w:pPr>
              <w:rPr>
                <w:b/>
              </w:rPr>
            </w:pPr>
          </w:p>
        </w:tc>
      </w:tr>
      <w:tr w:rsidR="001B7A3A" w:rsidTr="00345119">
        <w:tc>
          <w:tcPr>
            <w:tcW w:w="9576" w:type="dxa"/>
          </w:tcPr>
          <w:p w:rsidR="008423E4" w:rsidRPr="00A8133F" w:rsidRDefault="00906DD0" w:rsidP="00416164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906DD0" w:rsidP="00416164"/>
          <w:p w:rsidR="008423E4" w:rsidRDefault="00906DD0" w:rsidP="004161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2019.</w:t>
            </w:r>
          </w:p>
          <w:p w:rsidR="000E31DF" w:rsidRPr="00233FDB" w:rsidRDefault="00906DD0" w:rsidP="00416164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</w:tbl>
    <w:p w:rsidR="004108C3" w:rsidRPr="00807C94" w:rsidRDefault="00906DD0" w:rsidP="008423E4">
      <w:pPr>
        <w:rPr>
          <w:sz w:val="2"/>
          <w:szCs w:val="2"/>
        </w:rPr>
      </w:pPr>
    </w:p>
    <w:sectPr w:rsidR="004108C3" w:rsidRPr="00807C9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06DD0">
      <w:r>
        <w:separator/>
      </w:r>
    </w:p>
  </w:endnote>
  <w:endnote w:type="continuationSeparator" w:id="0">
    <w:p w:rsidR="00000000" w:rsidRDefault="00906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6D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1B7A3A" w:rsidTr="009C1E9A">
      <w:trPr>
        <w:cantSplit/>
      </w:trPr>
      <w:tc>
        <w:tcPr>
          <w:tcW w:w="0" w:type="pct"/>
        </w:tcPr>
        <w:p w:rsidR="00137D90" w:rsidRDefault="00906D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906D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906D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906D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906D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7A3A" w:rsidTr="009C1E9A">
      <w:trPr>
        <w:cantSplit/>
      </w:trPr>
      <w:tc>
        <w:tcPr>
          <w:tcW w:w="0" w:type="pct"/>
        </w:tcPr>
        <w:p w:rsidR="00EC379B" w:rsidRDefault="00906D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906DD0" w:rsidP="00392B65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33598</w:t>
          </w:r>
        </w:p>
      </w:tc>
      <w:tc>
        <w:tcPr>
          <w:tcW w:w="2453" w:type="pct"/>
        </w:tcPr>
        <w:p w:rsidR="00EC379B" w:rsidRDefault="00906D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19.133.401</w:t>
          </w:r>
          <w:r>
            <w:fldChar w:fldCharType="end"/>
          </w:r>
        </w:p>
      </w:tc>
    </w:tr>
    <w:tr w:rsidR="001B7A3A" w:rsidTr="009C1E9A">
      <w:trPr>
        <w:cantSplit/>
      </w:trPr>
      <w:tc>
        <w:tcPr>
          <w:tcW w:w="0" w:type="pct"/>
        </w:tcPr>
        <w:p w:rsidR="00EC379B" w:rsidRDefault="00906D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906D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906DD0" w:rsidP="006D504F">
          <w:pPr>
            <w:pStyle w:val="Footer"/>
            <w:rPr>
              <w:rStyle w:val="PageNumber"/>
            </w:rPr>
          </w:pPr>
        </w:p>
        <w:p w:rsidR="00EC379B" w:rsidRDefault="00906D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1B7A3A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906D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:rsidR="00EC379B" w:rsidRDefault="00906D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906D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6D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06DD0">
      <w:r>
        <w:separator/>
      </w:r>
    </w:p>
  </w:footnote>
  <w:footnote w:type="continuationSeparator" w:id="0">
    <w:p w:rsidR="00000000" w:rsidRDefault="00906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6D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6D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906D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64A74"/>
    <w:multiLevelType w:val="hybridMultilevel"/>
    <w:tmpl w:val="1F1A86CA"/>
    <w:lvl w:ilvl="0" w:tplc="61DE0B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036B4E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AB2C5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E0CE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9450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3FA47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AE97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4FA58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FBA81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3A"/>
    <w:rsid w:val="001B7A3A"/>
    <w:rsid w:val="0090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E650637-5F0F-4224-9E0C-3ACD3D60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B5F1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5F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5F1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5F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5F19"/>
    <w:rPr>
      <w:b/>
      <w:bCs/>
    </w:rPr>
  </w:style>
  <w:style w:type="character" w:styleId="Hyperlink">
    <w:name w:val="Hyperlink"/>
    <w:basedOn w:val="DefaultParagraphFont"/>
    <w:unhideWhenUsed/>
    <w:rsid w:val="00C6445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3141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485</Words>
  <Characters>2729</Characters>
  <Application>Microsoft Office Word</Application>
  <DocSecurity>4</DocSecurity>
  <Lines>64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SB02285 (Committee Report (Unamended))</vt:lpstr>
    </vt:vector>
  </TitlesOfParts>
  <Company>State of Texas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33598</dc:subject>
  <dc:creator>State of Texas</dc:creator>
  <dc:description>SB 2285 by Fallon-(H)Public Education</dc:description>
  <cp:lastModifiedBy>Scotty Wimberley</cp:lastModifiedBy>
  <cp:revision>2</cp:revision>
  <cp:lastPrinted>2003-11-26T17:21:00Z</cp:lastPrinted>
  <dcterms:created xsi:type="dcterms:W3CDTF">2019-05-14T21:43:00Z</dcterms:created>
  <dcterms:modified xsi:type="dcterms:W3CDTF">2019-05-14T21:43:00Z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19.133.401</vt:lpwstr>
  </property>
</Properties>
</file>