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4493" w:rsidTr="00345119">
        <w:tc>
          <w:tcPr>
            <w:tcW w:w="9576" w:type="dxa"/>
            <w:noWrap/>
          </w:tcPr>
          <w:p w:rsidR="008423E4" w:rsidRPr="0022177D" w:rsidRDefault="00E94B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4BAB" w:rsidP="008423E4">
      <w:pPr>
        <w:jc w:val="center"/>
      </w:pPr>
    </w:p>
    <w:p w:rsidR="008423E4" w:rsidRPr="00B31F0E" w:rsidRDefault="00E94BAB" w:rsidP="008423E4"/>
    <w:p w:rsidR="008423E4" w:rsidRPr="00742794" w:rsidRDefault="00E94B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4493" w:rsidTr="00345119">
        <w:tc>
          <w:tcPr>
            <w:tcW w:w="9576" w:type="dxa"/>
          </w:tcPr>
          <w:p w:rsidR="008423E4" w:rsidRPr="00861995" w:rsidRDefault="00E94BAB" w:rsidP="00345119">
            <w:pPr>
              <w:jc w:val="right"/>
            </w:pPr>
            <w:r>
              <w:t>S.B. 2296</w:t>
            </w:r>
          </w:p>
        </w:tc>
      </w:tr>
      <w:tr w:rsidR="00574493" w:rsidTr="00345119">
        <w:tc>
          <w:tcPr>
            <w:tcW w:w="9576" w:type="dxa"/>
          </w:tcPr>
          <w:p w:rsidR="008423E4" w:rsidRPr="00861995" w:rsidRDefault="00E94BAB" w:rsidP="00345119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574493" w:rsidTr="00345119">
        <w:tc>
          <w:tcPr>
            <w:tcW w:w="9576" w:type="dxa"/>
          </w:tcPr>
          <w:p w:rsidR="008423E4" w:rsidRPr="00861995" w:rsidRDefault="00E94BAB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574493" w:rsidTr="00345119">
        <w:tc>
          <w:tcPr>
            <w:tcW w:w="9576" w:type="dxa"/>
          </w:tcPr>
          <w:p w:rsidR="008423E4" w:rsidRDefault="00E94B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4BAB" w:rsidP="008423E4">
      <w:pPr>
        <w:tabs>
          <w:tab w:val="right" w:pos="9360"/>
        </w:tabs>
      </w:pPr>
    </w:p>
    <w:p w:rsidR="008423E4" w:rsidRDefault="00E94BAB" w:rsidP="008423E4"/>
    <w:p w:rsidR="008423E4" w:rsidRDefault="00E94B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4493" w:rsidTr="00345119">
        <w:tc>
          <w:tcPr>
            <w:tcW w:w="9576" w:type="dxa"/>
          </w:tcPr>
          <w:p w:rsidR="008423E4" w:rsidRPr="00A8133F" w:rsidRDefault="00E94BAB" w:rsidP="001D43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4BAB" w:rsidP="001D4361"/>
          <w:p w:rsidR="008423E4" w:rsidRDefault="00E94BAB" w:rsidP="001D4361">
            <w:pPr>
              <w:pStyle w:val="Header"/>
              <w:jc w:val="both"/>
            </w:pPr>
            <w:r>
              <w:t>Interested parties assert that there is an advantage and convenience that common paymaster payrolling</w:t>
            </w:r>
            <w:r>
              <w:t xml:space="preserve"> can bring to a group of related companies, such as small businesses owned by </w:t>
            </w:r>
            <w:r>
              <w:t xml:space="preserve">a single </w:t>
            </w:r>
            <w:r>
              <w:t>family</w:t>
            </w:r>
            <w:r>
              <w:t xml:space="preserve"> unit</w:t>
            </w:r>
            <w:r>
              <w:t xml:space="preserve">. In recognition of these benefits, S.B. 2296 </w:t>
            </w:r>
            <w:r>
              <w:t>seeks to</w:t>
            </w:r>
            <w:r>
              <w:t xml:space="preserve"> </w:t>
            </w:r>
            <w:r>
              <w:t>classify a common paymaster as an</w:t>
            </w:r>
            <w:r>
              <w:t xml:space="preserve"> employing unit </w:t>
            </w:r>
            <w:r>
              <w:t xml:space="preserve">under </w:t>
            </w:r>
            <w:r w:rsidRPr="004E39BB">
              <w:t>the Texas Unemployment Compensation Act</w:t>
            </w:r>
            <w:r>
              <w:t>.</w:t>
            </w:r>
          </w:p>
          <w:p w:rsidR="001D4361" w:rsidRPr="00E26B13" w:rsidRDefault="00E94BAB" w:rsidP="001D4361">
            <w:pPr>
              <w:pStyle w:val="Header"/>
              <w:jc w:val="both"/>
              <w:rPr>
                <w:b/>
              </w:rPr>
            </w:pPr>
          </w:p>
        </w:tc>
      </w:tr>
      <w:tr w:rsidR="00574493" w:rsidTr="00345119">
        <w:tc>
          <w:tcPr>
            <w:tcW w:w="9576" w:type="dxa"/>
          </w:tcPr>
          <w:p w:rsidR="0017725B" w:rsidRDefault="00E94BAB" w:rsidP="001D43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E94BAB" w:rsidP="001D4361">
            <w:pPr>
              <w:rPr>
                <w:b/>
                <w:u w:val="single"/>
              </w:rPr>
            </w:pPr>
          </w:p>
          <w:p w:rsidR="00E5050F" w:rsidRPr="00E5050F" w:rsidRDefault="00E94BAB" w:rsidP="001D436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E94BAB" w:rsidP="001D4361">
            <w:pPr>
              <w:rPr>
                <w:b/>
                <w:u w:val="single"/>
              </w:rPr>
            </w:pPr>
          </w:p>
        </w:tc>
      </w:tr>
      <w:tr w:rsidR="00574493" w:rsidTr="00345119">
        <w:tc>
          <w:tcPr>
            <w:tcW w:w="9576" w:type="dxa"/>
          </w:tcPr>
          <w:p w:rsidR="008423E4" w:rsidRPr="00A8133F" w:rsidRDefault="00E94BAB" w:rsidP="001D43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4BAB" w:rsidP="001D4361"/>
          <w:p w:rsidR="003051DE" w:rsidRDefault="00E94BAB" w:rsidP="001D4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Workforce Commission in SECTION 1 of this bill.</w:t>
            </w:r>
          </w:p>
          <w:p w:rsidR="008423E4" w:rsidRPr="00E21FDC" w:rsidRDefault="00E94BAB" w:rsidP="001D4361">
            <w:pPr>
              <w:rPr>
                <w:b/>
              </w:rPr>
            </w:pPr>
          </w:p>
        </w:tc>
      </w:tr>
      <w:tr w:rsidR="00574493" w:rsidTr="00345119">
        <w:tc>
          <w:tcPr>
            <w:tcW w:w="9576" w:type="dxa"/>
          </w:tcPr>
          <w:p w:rsidR="008423E4" w:rsidRPr="00A8133F" w:rsidRDefault="00E94BAB" w:rsidP="001D43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4BAB" w:rsidP="001D4361"/>
          <w:p w:rsidR="008423E4" w:rsidRDefault="00E94BAB" w:rsidP="001D4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2296 amends the Labor Code to </w:t>
            </w:r>
            <w:r>
              <w:t xml:space="preserve">classify </w:t>
            </w:r>
            <w:r>
              <w:t>a common paymaster</w:t>
            </w:r>
            <w:r>
              <w:t>, as defined by federal law,</w:t>
            </w:r>
            <w:r>
              <w:t xml:space="preserve"> </w:t>
            </w:r>
            <w:r>
              <w:t>as</w:t>
            </w:r>
            <w:r>
              <w:t xml:space="preserve"> an</w:t>
            </w:r>
            <w:r>
              <w:t xml:space="preserve"> employing unit</w:t>
            </w:r>
            <w:r>
              <w:t xml:space="preserve"> under the </w:t>
            </w:r>
            <w:r w:rsidRPr="00002DD7">
              <w:t>Texas Unemployment Compensation Act</w:t>
            </w:r>
            <w:r>
              <w:t xml:space="preserve">. The bill </w:t>
            </w:r>
            <w:r>
              <w:t xml:space="preserve">requires the Texas Workforce Commission to adopt rules </w:t>
            </w:r>
            <w:r w:rsidRPr="00B807FC">
              <w:t xml:space="preserve">as necessary to implement </w:t>
            </w:r>
            <w:r>
              <w:t>that</w:t>
            </w:r>
            <w:r w:rsidRPr="00B807FC">
              <w:t xml:space="preserve"> </w:t>
            </w:r>
            <w:r w:rsidRPr="00B807FC">
              <w:t>inclusion of common paymaster</w:t>
            </w:r>
            <w:r>
              <w:t xml:space="preserve"> and provides tha</w:t>
            </w:r>
            <w:r>
              <w:t xml:space="preserve">t the inclusion of common paymaster </w:t>
            </w:r>
            <w:r>
              <w:t xml:space="preserve">to the definition of "employing unit" </w:t>
            </w:r>
            <w:r>
              <w:t xml:space="preserve">does not negate </w:t>
            </w:r>
            <w:r w:rsidRPr="003051DE">
              <w:t>a person's obligations with respect to acquisitions of experience-rated employers and transfers of compensation experience</w:t>
            </w:r>
            <w:r>
              <w:t xml:space="preserve">. </w:t>
            </w:r>
          </w:p>
          <w:p w:rsidR="008423E4" w:rsidRPr="00835628" w:rsidRDefault="00E94BAB" w:rsidP="001D4361">
            <w:pPr>
              <w:rPr>
                <w:b/>
              </w:rPr>
            </w:pPr>
          </w:p>
        </w:tc>
      </w:tr>
      <w:tr w:rsidR="00574493" w:rsidTr="00345119">
        <w:tc>
          <w:tcPr>
            <w:tcW w:w="9576" w:type="dxa"/>
          </w:tcPr>
          <w:p w:rsidR="008423E4" w:rsidRPr="00A8133F" w:rsidRDefault="00E94BAB" w:rsidP="001D43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4BAB" w:rsidP="001D4361"/>
          <w:p w:rsidR="008423E4" w:rsidRPr="00F5362D" w:rsidRDefault="00E94BAB" w:rsidP="001D43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</w:tc>
      </w:tr>
    </w:tbl>
    <w:p w:rsidR="004108C3" w:rsidRPr="00F5362D" w:rsidRDefault="00E94BAB" w:rsidP="008423E4"/>
    <w:sectPr w:rsidR="004108C3" w:rsidRPr="00F5362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BAB">
      <w:r>
        <w:separator/>
      </w:r>
    </w:p>
  </w:endnote>
  <w:endnote w:type="continuationSeparator" w:id="0">
    <w:p w:rsidR="00000000" w:rsidRDefault="00E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4493" w:rsidTr="009C1E9A">
      <w:trPr>
        <w:cantSplit/>
      </w:trPr>
      <w:tc>
        <w:tcPr>
          <w:tcW w:w="0" w:type="pct"/>
        </w:tcPr>
        <w:p w:rsidR="00137D90" w:rsidRDefault="00E94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4B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4B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4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4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4493" w:rsidTr="009C1E9A">
      <w:trPr>
        <w:cantSplit/>
      </w:trPr>
      <w:tc>
        <w:tcPr>
          <w:tcW w:w="0" w:type="pct"/>
        </w:tcPr>
        <w:p w:rsidR="00EC379B" w:rsidRDefault="00E94B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4B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33022</w:t>
          </w:r>
        </w:p>
      </w:tc>
      <w:tc>
        <w:tcPr>
          <w:tcW w:w="2453" w:type="pct"/>
        </w:tcPr>
        <w:p w:rsidR="00EC379B" w:rsidRDefault="00E94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19.129.111</w:t>
          </w:r>
          <w:r>
            <w:fldChar w:fldCharType="end"/>
          </w:r>
        </w:p>
      </w:tc>
    </w:tr>
    <w:tr w:rsidR="00574493" w:rsidTr="009C1E9A">
      <w:trPr>
        <w:cantSplit/>
      </w:trPr>
      <w:tc>
        <w:tcPr>
          <w:tcW w:w="0" w:type="pct"/>
        </w:tcPr>
        <w:p w:rsidR="00EC379B" w:rsidRDefault="00E94B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4B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4BAB" w:rsidP="006D504F">
          <w:pPr>
            <w:pStyle w:val="Footer"/>
            <w:rPr>
              <w:rStyle w:val="PageNumber"/>
            </w:rPr>
          </w:pPr>
        </w:p>
        <w:p w:rsidR="00EC379B" w:rsidRDefault="00E94B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44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4B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4B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4B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BAB">
      <w:r>
        <w:separator/>
      </w:r>
    </w:p>
  </w:footnote>
  <w:footnote w:type="continuationSeparator" w:id="0">
    <w:p w:rsidR="00000000" w:rsidRDefault="00E9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3"/>
    <w:rsid w:val="00574493"/>
    <w:rsid w:val="00E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0440DD-5A98-4D07-8BAE-29E363E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5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5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5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SB02296 (Committee Report (Unamended))</vt:lpstr>
    </vt:vector>
  </TitlesOfParts>
  <Company>State of Texas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33022</dc:subject>
  <dc:creator>State of Texas</dc:creator>
  <dc:description>SB 2296 by Powell-(H)International Relations &amp; Economic Development</dc:description>
  <cp:lastModifiedBy>Erin Conway</cp:lastModifiedBy>
  <cp:revision>2</cp:revision>
  <cp:lastPrinted>2003-11-26T17:21:00Z</cp:lastPrinted>
  <dcterms:created xsi:type="dcterms:W3CDTF">2019-05-18T17:42:00Z</dcterms:created>
  <dcterms:modified xsi:type="dcterms:W3CDTF">2019-05-18T17:42:00Z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19.129.111</vt:lpwstr>
  </property>
</Properties>
</file>