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E055C" w:rsidTr="00345119">
        <w:tc>
          <w:tcPr>
            <w:tcW w:w="9576" w:type="dxa"/>
            <w:noWrap/>
          </w:tcPr>
          <w:p w:rsidR="008423E4" w:rsidRPr="0022177D" w:rsidRDefault="0080467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04678" w:rsidP="008423E4">
      <w:pPr>
        <w:jc w:val="center"/>
      </w:pPr>
    </w:p>
    <w:p w:rsidR="008423E4" w:rsidRPr="00B31F0E" w:rsidRDefault="00804678" w:rsidP="008423E4"/>
    <w:p w:rsidR="008423E4" w:rsidRPr="00742794" w:rsidRDefault="0080467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E055C" w:rsidTr="00345119">
        <w:tc>
          <w:tcPr>
            <w:tcW w:w="9576" w:type="dxa"/>
          </w:tcPr>
          <w:p w:rsidR="008423E4" w:rsidRPr="00861995" w:rsidRDefault="00804678" w:rsidP="00345119">
            <w:pPr>
              <w:jc w:val="right"/>
            </w:pPr>
            <w:r>
              <w:t>S.B. 2330</w:t>
            </w:r>
          </w:p>
        </w:tc>
      </w:tr>
      <w:tr w:rsidR="002E055C" w:rsidTr="00345119">
        <w:tc>
          <w:tcPr>
            <w:tcW w:w="9576" w:type="dxa"/>
          </w:tcPr>
          <w:p w:rsidR="008423E4" w:rsidRPr="00861995" w:rsidRDefault="00804678" w:rsidP="00054410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2E055C" w:rsidTr="00345119">
        <w:tc>
          <w:tcPr>
            <w:tcW w:w="9576" w:type="dxa"/>
          </w:tcPr>
          <w:p w:rsidR="008423E4" w:rsidRPr="00861995" w:rsidRDefault="00804678" w:rsidP="00345119">
            <w:pPr>
              <w:jc w:val="right"/>
            </w:pPr>
            <w:r>
              <w:t>Pensions, Investments &amp; Financial Services</w:t>
            </w:r>
          </w:p>
        </w:tc>
      </w:tr>
      <w:tr w:rsidR="002E055C" w:rsidTr="00345119">
        <w:tc>
          <w:tcPr>
            <w:tcW w:w="9576" w:type="dxa"/>
          </w:tcPr>
          <w:p w:rsidR="008423E4" w:rsidRDefault="0080467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04678" w:rsidP="008423E4">
      <w:pPr>
        <w:tabs>
          <w:tab w:val="right" w:pos="9360"/>
        </w:tabs>
      </w:pPr>
    </w:p>
    <w:p w:rsidR="008423E4" w:rsidRDefault="00804678" w:rsidP="008423E4"/>
    <w:p w:rsidR="008423E4" w:rsidRDefault="0080467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E055C" w:rsidTr="00345119">
        <w:tc>
          <w:tcPr>
            <w:tcW w:w="9576" w:type="dxa"/>
          </w:tcPr>
          <w:p w:rsidR="008423E4" w:rsidRPr="00A8133F" w:rsidRDefault="00804678" w:rsidP="00EF140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04678" w:rsidP="00EF1403"/>
          <w:p w:rsidR="008423E4" w:rsidRDefault="00804678" w:rsidP="00EF1403">
            <w:pPr>
              <w:pStyle w:val="Header"/>
              <w:jc w:val="both"/>
            </w:pPr>
            <w:r>
              <w:t xml:space="preserve">There are concerns that state law regarding residential mortgage loan originators </w:t>
            </w:r>
            <w:r>
              <w:t xml:space="preserve">is not yet fully aligned with </w:t>
            </w:r>
            <w:r>
              <w:t xml:space="preserve">amendments made to </w:t>
            </w:r>
            <w:r>
              <w:t>the federal SAFE Act</w:t>
            </w:r>
            <w:r>
              <w:t xml:space="preserve"> with respect to </w:t>
            </w:r>
            <w:r>
              <w:t>certain residential mortgage loan originators.</w:t>
            </w:r>
            <w:r>
              <w:t xml:space="preserve"> </w:t>
            </w:r>
            <w:r>
              <w:t>S</w:t>
            </w:r>
            <w:r>
              <w:t xml:space="preserve">.B. </w:t>
            </w:r>
            <w:r>
              <w:t xml:space="preserve">2330 </w:t>
            </w:r>
            <w:r>
              <w:t xml:space="preserve">seeks to </w:t>
            </w:r>
            <w:r>
              <w:t xml:space="preserve">update state law to conform to certain federal SAFE Act changes by </w:t>
            </w:r>
            <w:r>
              <w:t>providing</w:t>
            </w:r>
            <w:r>
              <w:t xml:space="preserve"> </w:t>
            </w:r>
            <w:r>
              <w:t>for the temporary authority</w:t>
            </w:r>
            <w:r>
              <w:t xml:space="preserve"> of </w:t>
            </w:r>
            <w:r>
              <w:t>certain</w:t>
            </w:r>
            <w:r>
              <w:t xml:space="preserve"> individuals</w:t>
            </w:r>
            <w:r>
              <w:t xml:space="preserve"> </w:t>
            </w:r>
            <w:r>
              <w:t xml:space="preserve">to act </w:t>
            </w:r>
            <w:r w:rsidRPr="00266713">
              <w:t>as a residential mortgage loan originator</w:t>
            </w:r>
            <w:r>
              <w:t xml:space="preserve"> under certain conditions until th</w:t>
            </w:r>
            <w:r>
              <w:t>o</w:t>
            </w:r>
            <w:r>
              <w:t>se individuals complete the state licensing process</w:t>
            </w:r>
            <w:r w:rsidRPr="00266713">
              <w:t>.</w:t>
            </w:r>
            <w:r>
              <w:t xml:space="preserve"> </w:t>
            </w:r>
          </w:p>
          <w:p w:rsidR="008423E4" w:rsidRPr="00E26B13" w:rsidRDefault="00804678" w:rsidP="00EF1403">
            <w:pPr>
              <w:rPr>
                <w:b/>
              </w:rPr>
            </w:pPr>
          </w:p>
        </w:tc>
      </w:tr>
      <w:tr w:rsidR="002E055C" w:rsidTr="00345119">
        <w:tc>
          <w:tcPr>
            <w:tcW w:w="9576" w:type="dxa"/>
          </w:tcPr>
          <w:p w:rsidR="0017725B" w:rsidRDefault="00804678" w:rsidP="00EF14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04678" w:rsidP="00EF1403">
            <w:pPr>
              <w:rPr>
                <w:b/>
                <w:u w:val="single"/>
              </w:rPr>
            </w:pPr>
          </w:p>
          <w:p w:rsidR="00961FC3" w:rsidRPr="00961FC3" w:rsidRDefault="00804678" w:rsidP="00EF1403">
            <w:pPr>
              <w:jc w:val="both"/>
            </w:pPr>
            <w:r>
              <w:t xml:space="preserve">It is the committee's opinion that this bill does not expressly </w:t>
            </w:r>
            <w:r>
              <w:t>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04678" w:rsidP="00EF1403">
            <w:pPr>
              <w:rPr>
                <w:b/>
                <w:u w:val="single"/>
              </w:rPr>
            </w:pPr>
          </w:p>
        </w:tc>
      </w:tr>
      <w:tr w:rsidR="002E055C" w:rsidTr="00345119">
        <w:tc>
          <w:tcPr>
            <w:tcW w:w="9576" w:type="dxa"/>
          </w:tcPr>
          <w:p w:rsidR="008423E4" w:rsidRPr="00A8133F" w:rsidRDefault="00804678" w:rsidP="00EF140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04678" w:rsidP="00EF1403"/>
          <w:p w:rsidR="00961FC3" w:rsidRDefault="00804678" w:rsidP="00EF14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804678" w:rsidP="00EF1403">
            <w:pPr>
              <w:rPr>
                <w:b/>
              </w:rPr>
            </w:pPr>
          </w:p>
        </w:tc>
      </w:tr>
      <w:tr w:rsidR="002E055C" w:rsidTr="00345119">
        <w:tc>
          <w:tcPr>
            <w:tcW w:w="9576" w:type="dxa"/>
          </w:tcPr>
          <w:p w:rsidR="008423E4" w:rsidRPr="00A8133F" w:rsidRDefault="00804678" w:rsidP="00EF140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04678" w:rsidP="00EF1403"/>
          <w:p w:rsidR="003440E4" w:rsidRDefault="00804678" w:rsidP="00EF140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hd w:val="clear" w:color="auto" w:fill="FFFFFF"/>
              </w:rPr>
            </w:pPr>
            <w:r>
              <w:t>S</w:t>
            </w:r>
            <w:r w:rsidRPr="00E66BD4">
              <w:t xml:space="preserve">.B. </w:t>
            </w:r>
            <w:r>
              <w:t>2</w:t>
            </w:r>
            <w:r>
              <w:t>3</w:t>
            </w:r>
            <w:r>
              <w:t>30</w:t>
            </w:r>
            <w:r w:rsidRPr="00E66BD4">
              <w:t xml:space="preserve"> </w:t>
            </w:r>
            <w:r w:rsidRPr="00E66BD4">
              <w:t>amends the Finance Code</w:t>
            </w:r>
            <w:r w:rsidRPr="00E66BD4">
              <w:t>,</w:t>
            </w:r>
            <w:r w:rsidRPr="00E66BD4">
              <w:t xml:space="preserve"> </w:t>
            </w:r>
            <w:r w:rsidRPr="00E66BD4">
              <w:t xml:space="preserve">for purposes of </w:t>
            </w:r>
            <w:r w:rsidRPr="00E66BD4">
              <w:t xml:space="preserve">the </w:t>
            </w:r>
            <w:r w:rsidRPr="009D0FAA">
              <w:rPr>
                <w:shd w:val="clear" w:color="auto" w:fill="FFFFFF"/>
              </w:rPr>
              <w:t>Texas Secure and Fair Enforcement for Mortgage L</w:t>
            </w:r>
            <w:r w:rsidRPr="009D0FAA">
              <w:rPr>
                <w:shd w:val="clear" w:color="auto" w:fill="FFFFFF"/>
              </w:rPr>
              <w:t>icensing Act of 2009</w:t>
            </w:r>
            <w:r w:rsidRPr="009D0FAA">
              <w:rPr>
                <w:shd w:val="clear" w:color="auto" w:fill="FFFFFF"/>
              </w:rPr>
              <w:t xml:space="preserve"> (Texas Safe Act)</w:t>
            </w:r>
            <w:r w:rsidRPr="009D0FAA">
              <w:rPr>
                <w:shd w:val="clear" w:color="auto" w:fill="FFFFFF"/>
              </w:rPr>
              <w:t>,</w:t>
            </w:r>
            <w:r w:rsidRPr="009D0FAA">
              <w:rPr>
                <w:shd w:val="clear" w:color="auto" w:fill="FFFFFF"/>
              </w:rPr>
              <w:t xml:space="preserve"> to</w:t>
            </w:r>
            <w:r>
              <w:rPr>
                <w:shd w:val="clear" w:color="auto" w:fill="FFFFFF"/>
              </w:rPr>
              <w:t xml:space="preserve"> do the following:</w:t>
            </w:r>
            <w:r w:rsidRPr="009D0FAA">
              <w:rPr>
                <w:shd w:val="clear" w:color="auto" w:fill="FFFFFF"/>
              </w:rPr>
              <w:t xml:space="preserve"> </w:t>
            </w:r>
          </w:p>
          <w:p w:rsidR="003440E4" w:rsidRDefault="00804678" w:rsidP="00EF140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9D0FAA">
              <w:rPr>
                <w:shd w:val="clear" w:color="auto" w:fill="FFFFFF"/>
              </w:rPr>
              <w:t>establish the conditions</w:t>
            </w:r>
            <w:r w:rsidRPr="009D0FAA">
              <w:rPr>
                <w:shd w:val="clear" w:color="auto" w:fill="FFFFFF"/>
              </w:rPr>
              <w:t xml:space="preserve"> under which</w:t>
            </w:r>
            <w:r w:rsidRPr="009D0FAA">
              <w:rPr>
                <w:shd w:val="clear" w:color="auto" w:fill="FFFFFF"/>
              </w:rPr>
              <w:t xml:space="preserve"> </w:t>
            </w:r>
            <w:r w:rsidRPr="00E66BD4">
              <w:t>a registered mortgage loan originator who does not hold a</w:t>
            </w:r>
            <w:r w:rsidRPr="00E66BD4">
              <w:t>n applicable</w:t>
            </w:r>
            <w:r w:rsidRPr="009B2A0A">
              <w:t xml:space="preserve"> license</w:t>
            </w:r>
            <w:r w:rsidRPr="009B2A0A">
              <w:t xml:space="preserve"> </w:t>
            </w:r>
            <w:r w:rsidRPr="009B2A0A">
              <w:t xml:space="preserve">under the Residential Mortgage Loan Company Licensing and Registration Act, the Mortgage Banker </w:t>
            </w:r>
            <w:r>
              <w:t xml:space="preserve">Registration and Residential Mortgage Loan Originator License Act, the Texas Credit Title Act, </w:t>
            </w:r>
            <w:r>
              <w:t>or</w:t>
            </w:r>
            <w:r>
              <w:t xml:space="preserve"> the Property Tax Lender License Act </w:t>
            </w:r>
            <w:r>
              <w:t>is considered to have temp</w:t>
            </w:r>
            <w:r>
              <w:t xml:space="preserve">orary authority to act </w:t>
            </w:r>
            <w:r w:rsidRPr="00875E33">
              <w:t xml:space="preserve">as a residential mortgage loan originator for </w:t>
            </w:r>
            <w:r>
              <w:t>a period not to exceed 120 day</w:t>
            </w:r>
            <w:r>
              <w:t>s</w:t>
            </w:r>
            <w:r>
              <w:t>;</w:t>
            </w:r>
          </w:p>
          <w:p w:rsidR="003440E4" w:rsidRDefault="00804678" w:rsidP="00EF140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rPr>
                <w:shd w:val="clear" w:color="auto" w:fill="FFFFFF"/>
              </w:rPr>
              <w:t>establish the conditions under which a residential mortgage loan originator licensed by a regulatory official to engage in business as a mortgage loan ori</w:t>
            </w:r>
            <w:r>
              <w:rPr>
                <w:shd w:val="clear" w:color="auto" w:fill="FFFFFF"/>
              </w:rPr>
              <w:t xml:space="preserve">ginator in Texas under one of those acts is considered to have temporary authority to act as a residential mortgage loan originator under another one of those acts for </w:t>
            </w:r>
            <w:r>
              <w:rPr>
                <w:shd w:val="clear" w:color="auto" w:fill="FFFFFF"/>
              </w:rPr>
              <w:t>a period not to exceed 120 days; and</w:t>
            </w:r>
          </w:p>
          <w:p w:rsidR="003440E4" w:rsidRPr="00156419" w:rsidRDefault="00804678" w:rsidP="00EF140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establish </w:t>
            </w:r>
            <w:r>
              <w:t xml:space="preserve">the conditions </w:t>
            </w:r>
            <w:r w:rsidRPr="00461A57">
              <w:t xml:space="preserve">under which </w:t>
            </w:r>
            <w:r w:rsidRPr="00D63A17">
              <w:rPr>
                <w:shd w:val="clear" w:color="auto" w:fill="FFFFFF"/>
              </w:rPr>
              <w:t>a</w:t>
            </w:r>
            <w:r>
              <w:rPr>
                <w:shd w:val="clear" w:color="auto" w:fill="FFFFFF"/>
              </w:rPr>
              <w:t>n</w:t>
            </w:r>
            <w:r w:rsidRPr="00D63A1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individual</w:t>
            </w:r>
            <w:r w:rsidRPr="00D63A17">
              <w:rPr>
                <w:shd w:val="clear" w:color="auto" w:fill="FFFFFF"/>
              </w:rPr>
              <w:t xml:space="preserve"> </w:t>
            </w:r>
            <w:r w:rsidRPr="00D63A17">
              <w:rPr>
                <w:shd w:val="clear" w:color="auto" w:fill="FFFFFF"/>
              </w:rPr>
              <w:t>licensed</w:t>
            </w:r>
            <w:r>
              <w:rPr>
                <w:shd w:val="clear" w:color="auto" w:fill="FFFFFF"/>
              </w:rPr>
              <w:t xml:space="preserve"> by another state or governmental jurisdiction</w:t>
            </w:r>
            <w:r w:rsidRPr="00D63A17">
              <w:rPr>
                <w:shd w:val="clear" w:color="auto" w:fill="FFFFFF"/>
              </w:rPr>
              <w:t xml:space="preserve"> to engage in </w:t>
            </w:r>
            <w:r>
              <w:rPr>
                <w:shd w:val="clear" w:color="auto" w:fill="FFFFFF"/>
              </w:rPr>
              <w:t>mortgage loan origination</w:t>
            </w:r>
            <w:r w:rsidRPr="00D63A17">
              <w:rPr>
                <w:shd w:val="clear" w:color="auto" w:fill="FFFFFF"/>
              </w:rPr>
              <w:t xml:space="preserve"> in </w:t>
            </w:r>
            <w:r>
              <w:rPr>
                <w:shd w:val="clear" w:color="auto" w:fill="FFFFFF"/>
              </w:rPr>
              <w:t xml:space="preserve">that </w:t>
            </w:r>
            <w:r w:rsidRPr="00D63A17">
              <w:rPr>
                <w:shd w:val="clear" w:color="auto" w:fill="FFFFFF"/>
              </w:rPr>
              <w:t>other state</w:t>
            </w:r>
            <w:r>
              <w:rPr>
                <w:shd w:val="clear" w:color="auto" w:fill="FFFFFF"/>
              </w:rPr>
              <w:t xml:space="preserve"> or governmental jurisdiction is considered to have temporary authority to act</w:t>
            </w:r>
            <w:r w:rsidRPr="00D63A17">
              <w:rPr>
                <w:shd w:val="clear" w:color="auto" w:fill="FFFFFF"/>
              </w:rPr>
              <w:t xml:space="preserve"> as a residential mortgage loan originator in Texas for a period </w:t>
            </w:r>
            <w:r w:rsidRPr="00D63A17">
              <w:rPr>
                <w:shd w:val="clear" w:color="auto" w:fill="FFFFFF"/>
              </w:rPr>
              <w:t>not to exceed 120 day</w:t>
            </w:r>
            <w:r>
              <w:rPr>
                <w:shd w:val="clear" w:color="auto" w:fill="FFFFFF"/>
              </w:rPr>
              <w:t>s</w:t>
            </w:r>
            <w:r>
              <w:rPr>
                <w:shd w:val="clear" w:color="auto" w:fill="FFFFFF"/>
              </w:rPr>
              <w:t>.</w:t>
            </w:r>
          </w:p>
          <w:p w:rsidR="00875E33" w:rsidRDefault="00804678" w:rsidP="00EF14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8561F" w:rsidRDefault="00804678" w:rsidP="00EF1403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>2</w:t>
            </w:r>
            <w:r>
              <w:t>3</w:t>
            </w:r>
            <w:r>
              <w:t>30 establishes that the 120-day period of temporary authority</w:t>
            </w:r>
            <w:r>
              <w:t xml:space="preserve"> </w:t>
            </w:r>
            <w:r>
              <w:t>described</w:t>
            </w:r>
            <w:r>
              <w:t xml:space="preserve"> under the bill's provisions </w:t>
            </w:r>
            <w:r>
              <w:t xml:space="preserve">begins </w:t>
            </w:r>
            <w:r w:rsidRPr="0088561F">
              <w:t>on the date on which the individual submits to the appropriate regulatory official the</w:t>
            </w:r>
            <w:r>
              <w:t xml:space="preserve"> </w:t>
            </w:r>
            <w:r w:rsidRPr="0088561F">
              <w:t>application form</w:t>
            </w:r>
            <w:r>
              <w:t xml:space="preserve"> and information concerning the individual's identity </w:t>
            </w:r>
            <w:r>
              <w:t xml:space="preserve">under provisions of the </w:t>
            </w:r>
            <w:r w:rsidRPr="00B403F1">
              <w:t xml:space="preserve">Texas </w:t>
            </w:r>
            <w:r>
              <w:t>Safe Act a</w:t>
            </w:r>
            <w:r>
              <w:t>nd ends o</w:t>
            </w:r>
            <w:r>
              <w:t>n the earliest of the following</w:t>
            </w:r>
            <w:r>
              <w:t>:</w:t>
            </w:r>
          </w:p>
          <w:p w:rsidR="0088561F" w:rsidRDefault="00804678" w:rsidP="00EF1403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the date on which the individual withdraws the application;</w:t>
            </w:r>
          </w:p>
          <w:p w:rsidR="0088561F" w:rsidRDefault="00804678" w:rsidP="00EF1403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the date on which the regulatory official denies or issues a</w:t>
            </w:r>
            <w:r>
              <w:t xml:space="preserve"> notice of intent to deny the application;</w:t>
            </w:r>
          </w:p>
          <w:p w:rsidR="0088561F" w:rsidRDefault="00804678" w:rsidP="00EF1403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the date on which the regulatory official issues the individual a license to engage in business as a residential mortgage loan originator with respect to a dwelling located in </w:t>
            </w:r>
            <w:r>
              <w:t>Texas</w:t>
            </w:r>
            <w:r>
              <w:t xml:space="preserve"> under an</w:t>
            </w:r>
            <w:r>
              <w:t xml:space="preserve"> applicable </w:t>
            </w:r>
            <w:r>
              <w:t xml:space="preserve">licensing </w:t>
            </w:r>
            <w:r>
              <w:t>a</w:t>
            </w:r>
            <w:r>
              <w:t>ct</w:t>
            </w:r>
            <w:r>
              <w:t>; or</w:t>
            </w:r>
          </w:p>
          <w:p w:rsidR="00130B93" w:rsidRDefault="00804678" w:rsidP="00EF1403">
            <w:pPr>
              <w:pStyle w:val="Header"/>
              <w:numPr>
                <w:ilvl w:val="0"/>
                <w:numId w:val="4"/>
              </w:numPr>
              <w:jc w:val="both"/>
            </w:pPr>
            <w:r>
              <w:t>the 120th day after the date on which the individual submitted the application, if the application is listed on the Nationwide Mortgage Licensing System and Registry as incomplete.</w:t>
            </w:r>
          </w:p>
          <w:p w:rsidR="00130B93" w:rsidRDefault="00804678" w:rsidP="00EF1403">
            <w:pPr>
              <w:pStyle w:val="Header"/>
              <w:jc w:val="both"/>
            </w:pPr>
          </w:p>
          <w:p w:rsidR="00130B93" w:rsidRDefault="00804678" w:rsidP="00EF1403">
            <w:pPr>
              <w:pStyle w:val="Header"/>
              <w:jc w:val="both"/>
            </w:pPr>
            <w:r>
              <w:t>S.B. 2</w:t>
            </w:r>
            <w:r>
              <w:t>3</w:t>
            </w:r>
            <w:r>
              <w:t xml:space="preserve">30 subjects the following persons to </w:t>
            </w:r>
            <w:r>
              <w:t>the requirements of app</w:t>
            </w:r>
            <w:r>
              <w:t xml:space="preserve">licable federal and state laws and to </w:t>
            </w:r>
            <w:r>
              <w:t>applicable</w:t>
            </w:r>
            <w:r>
              <w:t xml:space="preserve"> </w:t>
            </w:r>
            <w:r>
              <w:t xml:space="preserve">rules and regulations to the same extent as if that person was a residential mortgage loan originator licensed </w:t>
            </w:r>
            <w:r>
              <w:t>in Texas</w:t>
            </w:r>
            <w:r>
              <w:t>:</w:t>
            </w:r>
          </w:p>
          <w:p w:rsidR="00130B93" w:rsidRDefault="00804678" w:rsidP="00EF1403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 xml:space="preserve">a person employing an individual who is considered to have temporary authority to act </w:t>
            </w:r>
            <w:r>
              <w:t>as a residential mortgage loan originator in Texas under the bill's provisions; and</w:t>
            </w:r>
          </w:p>
          <w:p w:rsidR="00130B93" w:rsidRDefault="00804678" w:rsidP="00EF1403">
            <w:pPr>
              <w:pStyle w:val="Header"/>
              <w:numPr>
                <w:ilvl w:val="0"/>
                <w:numId w:val="6"/>
              </w:numPr>
              <w:jc w:val="both"/>
            </w:pPr>
            <w:r>
              <w:t>an individual who is considered to have</w:t>
            </w:r>
            <w:r>
              <w:t xml:space="preserve"> such</w:t>
            </w:r>
            <w:r>
              <w:t xml:space="preserve"> temporary authority and who engages in residential mortgage loan origination activities</w:t>
            </w:r>
            <w:r>
              <w:t>.</w:t>
            </w:r>
          </w:p>
          <w:p w:rsidR="008423E4" w:rsidRPr="00835628" w:rsidRDefault="00804678" w:rsidP="00EF1403">
            <w:pPr>
              <w:rPr>
                <w:b/>
              </w:rPr>
            </w:pPr>
          </w:p>
        </w:tc>
      </w:tr>
      <w:tr w:rsidR="002E055C" w:rsidTr="00345119">
        <w:tc>
          <w:tcPr>
            <w:tcW w:w="9576" w:type="dxa"/>
          </w:tcPr>
          <w:p w:rsidR="008423E4" w:rsidRPr="00A8133F" w:rsidRDefault="00804678" w:rsidP="00EF140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04678" w:rsidP="00EF1403"/>
          <w:p w:rsidR="008423E4" w:rsidRPr="003624F2" w:rsidRDefault="00804678" w:rsidP="00EF14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November 24, 2019.</w:t>
            </w:r>
          </w:p>
          <w:p w:rsidR="008423E4" w:rsidRPr="00233FDB" w:rsidRDefault="00804678" w:rsidP="00EF1403">
            <w:pPr>
              <w:rPr>
                <w:b/>
              </w:rPr>
            </w:pPr>
          </w:p>
        </w:tc>
      </w:tr>
    </w:tbl>
    <w:p w:rsidR="008423E4" w:rsidRPr="00BE0E75" w:rsidRDefault="0080467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0467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4678">
      <w:r>
        <w:separator/>
      </w:r>
    </w:p>
  </w:endnote>
  <w:endnote w:type="continuationSeparator" w:id="0">
    <w:p w:rsidR="00000000" w:rsidRDefault="0080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4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E055C" w:rsidTr="009C1E9A">
      <w:trPr>
        <w:cantSplit/>
      </w:trPr>
      <w:tc>
        <w:tcPr>
          <w:tcW w:w="0" w:type="pct"/>
        </w:tcPr>
        <w:p w:rsidR="00137D90" w:rsidRDefault="008046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0467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0467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046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046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055C" w:rsidTr="009C1E9A">
      <w:trPr>
        <w:cantSplit/>
      </w:trPr>
      <w:tc>
        <w:tcPr>
          <w:tcW w:w="0" w:type="pct"/>
        </w:tcPr>
        <w:p w:rsidR="00EC379B" w:rsidRDefault="008046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0467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31445</w:t>
          </w:r>
        </w:p>
      </w:tc>
      <w:tc>
        <w:tcPr>
          <w:tcW w:w="2453" w:type="pct"/>
        </w:tcPr>
        <w:p w:rsidR="00EC379B" w:rsidRDefault="008046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19.122.1094</w:t>
          </w:r>
          <w:r>
            <w:fldChar w:fldCharType="end"/>
          </w:r>
        </w:p>
      </w:tc>
    </w:tr>
    <w:tr w:rsidR="002E055C" w:rsidTr="009C1E9A">
      <w:trPr>
        <w:cantSplit/>
      </w:trPr>
      <w:tc>
        <w:tcPr>
          <w:tcW w:w="0" w:type="pct"/>
        </w:tcPr>
        <w:p w:rsidR="00EC379B" w:rsidRDefault="0080467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0467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04678" w:rsidP="006D504F">
          <w:pPr>
            <w:pStyle w:val="Footer"/>
            <w:rPr>
              <w:rStyle w:val="PageNumber"/>
            </w:rPr>
          </w:pPr>
        </w:p>
        <w:p w:rsidR="00EC379B" w:rsidRDefault="008046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055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0467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0467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0467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4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4678">
      <w:r>
        <w:separator/>
      </w:r>
    </w:p>
  </w:footnote>
  <w:footnote w:type="continuationSeparator" w:id="0">
    <w:p w:rsidR="00000000" w:rsidRDefault="00804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4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46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4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40272"/>
    <w:multiLevelType w:val="hybridMultilevel"/>
    <w:tmpl w:val="EAE01C02"/>
    <w:lvl w:ilvl="0" w:tplc="00BC9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C225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0CFE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EA6D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82F1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3ED2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C80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8C2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EAC8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16E49"/>
    <w:multiLevelType w:val="hybridMultilevel"/>
    <w:tmpl w:val="723CD012"/>
    <w:lvl w:ilvl="0" w:tplc="C7801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A2D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E48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94D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8AB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76E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6ED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2BB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68C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03F25"/>
    <w:multiLevelType w:val="hybridMultilevel"/>
    <w:tmpl w:val="75E2D662"/>
    <w:lvl w:ilvl="0" w:tplc="9B14C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52C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88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05E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844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D6D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84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60B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8092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D6441"/>
    <w:multiLevelType w:val="hybridMultilevel"/>
    <w:tmpl w:val="BDCE333C"/>
    <w:lvl w:ilvl="0" w:tplc="631C8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443E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F417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869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8CE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9695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245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E86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0E23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A4D3E"/>
    <w:multiLevelType w:val="hybridMultilevel"/>
    <w:tmpl w:val="ECA28A24"/>
    <w:lvl w:ilvl="0" w:tplc="523EA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FC59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04A6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AD7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663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E0C0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270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2B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DCF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86A94"/>
    <w:multiLevelType w:val="hybridMultilevel"/>
    <w:tmpl w:val="F060217E"/>
    <w:lvl w:ilvl="0" w:tplc="FF5CF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4683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E23A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CB8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E3A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E3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0F5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90EB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A4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D1039"/>
    <w:multiLevelType w:val="hybridMultilevel"/>
    <w:tmpl w:val="FA308CD4"/>
    <w:lvl w:ilvl="0" w:tplc="FBCA3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CC93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AA0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245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24C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A2F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D4C6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EC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6E2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5C"/>
    <w:rsid w:val="002E055C"/>
    <w:rsid w:val="0080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E9501B-A6F6-4AD7-A250-3ACCEED6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61F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1F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1FC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1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1FC3"/>
    <w:rPr>
      <w:b/>
      <w:bCs/>
    </w:rPr>
  </w:style>
  <w:style w:type="character" w:styleId="Hyperlink">
    <w:name w:val="Hyperlink"/>
    <w:basedOn w:val="DefaultParagraphFont"/>
    <w:unhideWhenUsed/>
    <w:rsid w:val="00263B1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70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704F"/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9B2A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3339</Characters>
  <Application>Microsoft Office Word</Application>
  <DocSecurity>4</DocSecurity>
  <Lines>77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SB02330 (Committee Report (Unamended))</vt:lpstr>
    </vt:vector>
  </TitlesOfParts>
  <Company>State of Texas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31445</dc:subject>
  <dc:creator>State of Texas</dc:creator>
  <dc:description>SB 2330 by Creighton-(H)Pensions, Investments &amp; Financial Services</dc:description>
  <cp:lastModifiedBy>Scotty Wimberley</cp:lastModifiedBy>
  <cp:revision>2</cp:revision>
  <cp:lastPrinted>2019-04-11T21:46:00Z</cp:lastPrinted>
  <dcterms:created xsi:type="dcterms:W3CDTF">2019-05-03T15:43:00Z</dcterms:created>
  <dcterms:modified xsi:type="dcterms:W3CDTF">2019-05-03T15:43:00Z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19.122.1094</vt:lpwstr>
  </property>
</Properties>
</file>