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37815" w:rsidTr="00345119">
        <w:tc>
          <w:tcPr>
            <w:tcW w:w="9576" w:type="dxa"/>
            <w:noWrap/>
          </w:tcPr>
          <w:p w:rsidR="008423E4" w:rsidRPr="0022177D" w:rsidRDefault="00106551" w:rsidP="00345119">
            <w:pPr>
              <w:pStyle w:val="Heading1"/>
            </w:pPr>
            <w:bookmarkStart w:id="0" w:name="_GoBack"/>
            <w:bookmarkEnd w:id="0"/>
            <w:r w:rsidRPr="00631897">
              <w:t>BILL ANALYSIS</w:t>
            </w:r>
          </w:p>
        </w:tc>
      </w:tr>
    </w:tbl>
    <w:p w:rsidR="008423E4" w:rsidRPr="0022177D" w:rsidRDefault="00106551" w:rsidP="008423E4">
      <w:pPr>
        <w:jc w:val="center"/>
      </w:pPr>
    </w:p>
    <w:p w:rsidR="008423E4" w:rsidRPr="00B31F0E" w:rsidRDefault="00106551" w:rsidP="008423E4"/>
    <w:p w:rsidR="008423E4" w:rsidRPr="006174D2" w:rsidRDefault="00106551" w:rsidP="008423E4">
      <w:pPr>
        <w:tabs>
          <w:tab w:val="right" w:pos="9360"/>
        </w:tabs>
        <w:rPr>
          <w:sz w:val="18"/>
        </w:rPr>
      </w:pPr>
    </w:p>
    <w:tbl>
      <w:tblPr>
        <w:tblW w:w="0" w:type="auto"/>
        <w:tblLayout w:type="fixed"/>
        <w:tblLook w:val="01E0" w:firstRow="1" w:lastRow="1" w:firstColumn="1" w:lastColumn="1" w:noHBand="0" w:noVBand="0"/>
      </w:tblPr>
      <w:tblGrid>
        <w:gridCol w:w="9576"/>
      </w:tblGrid>
      <w:tr w:rsidR="00937815" w:rsidTr="00345119">
        <w:tc>
          <w:tcPr>
            <w:tcW w:w="9576" w:type="dxa"/>
          </w:tcPr>
          <w:p w:rsidR="008423E4" w:rsidRPr="00861995" w:rsidRDefault="00106551" w:rsidP="00345119">
            <w:pPr>
              <w:jc w:val="right"/>
            </w:pPr>
            <w:r>
              <w:t>S.B. 2354</w:t>
            </w:r>
          </w:p>
        </w:tc>
      </w:tr>
      <w:tr w:rsidR="00937815" w:rsidTr="00345119">
        <w:tc>
          <w:tcPr>
            <w:tcW w:w="9576" w:type="dxa"/>
          </w:tcPr>
          <w:p w:rsidR="008423E4" w:rsidRPr="00861995" w:rsidRDefault="00106551" w:rsidP="00345119">
            <w:pPr>
              <w:jc w:val="right"/>
            </w:pPr>
            <w:r>
              <w:t xml:space="preserve">By: </w:t>
            </w:r>
            <w:r>
              <w:t>Zaffirini</w:t>
            </w:r>
          </w:p>
        </w:tc>
      </w:tr>
      <w:tr w:rsidR="00937815" w:rsidTr="00345119">
        <w:tc>
          <w:tcPr>
            <w:tcW w:w="9576" w:type="dxa"/>
          </w:tcPr>
          <w:p w:rsidR="008423E4" w:rsidRPr="00861995" w:rsidRDefault="00106551" w:rsidP="00345119">
            <w:pPr>
              <w:jc w:val="right"/>
            </w:pPr>
            <w:r>
              <w:t>Environmental Regulation</w:t>
            </w:r>
          </w:p>
        </w:tc>
      </w:tr>
      <w:tr w:rsidR="00937815" w:rsidTr="00345119">
        <w:tc>
          <w:tcPr>
            <w:tcW w:w="9576" w:type="dxa"/>
          </w:tcPr>
          <w:p w:rsidR="008423E4" w:rsidRDefault="00106551" w:rsidP="00345119">
            <w:pPr>
              <w:jc w:val="right"/>
            </w:pPr>
            <w:r>
              <w:t>Committee Report (Unamended)</w:t>
            </w:r>
          </w:p>
        </w:tc>
      </w:tr>
    </w:tbl>
    <w:p w:rsidR="008423E4" w:rsidRDefault="00106551" w:rsidP="008423E4">
      <w:pPr>
        <w:tabs>
          <w:tab w:val="right" w:pos="9360"/>
        </w:tabs>
      </w:pPr>
    </w:p>
    <w:p w:rsidR="008423E4" w:rsidRPr="006174D2" w:rsidRDefault="00106551" w:rsidP="008423E4">
      <w:pPr>
        <w:rPr>
          <w:sz w:val="18"/>
        </w:rPr>
      </w:pPr>
    </w:p>
    <w:p w:rsidR="008423E4" w:rsidRDefault="00106551" w:rsidP="008423E4"/>
    <w:tbl>
      <w:tblPr>
        <w:tblW w:w="0" w:type="auto"/>
        <w:tblCellMar>
          <w:left w:w="115" w:type="dxa"/>
          <w:right w:w="115" w:type="dxa"/>
        </w:tblCellMar>
        <w:tblLook w:val="01E0" w:firstRow="1" w:lastRow="1" w:firstColumn="1" w:lastColumn="1" w:noHBand="0" w:noVBand="0"/>
      </w:tblPr>
      <w:tblGrid>
        <w:gridCol w:w="9360"/>
      </w:tblGrid>
      <w:tr w:rsidR="00937815" w:rsidTr="00345119">
        <w:tc>
          <w:tcPr>
            <w:tcW w:w="9576" w:type="dxa"/>
          </w:tcPr>
          <w:p w:rsidR="008423E4" w:rsidRPr="00A8133F" w:rsidRDefault="00106551" w:rsidP="006174D2">
            <w:pPr>
              <w:rPr>
                <w:b/>
              </w:rPr>
            </w:pPr>
            <w:r w:rsidRPr="009C1E9A">
              <w:rPr>
                <w:b/>
                <w:u w:val="single"/>
              </w:rPr>
              <w:t>BACKGROUND AND PURPOSE</w:t>
            </w:r>
            <w:r>
              <w:rPr>
                <w:b/>
              </w:rPr>
              <w:t xml:space="preserve"> </w:t>
            </w:r>
          </w:p>
          <w:p w:rsidR="008423E4" w:rsidRDefault="00106551" w:rsidP="006174D2"/>
          <w:p w:rsidR="008423E4" w:rsidRDefault="00106551" w:rsidP="006174D2">
            <w:pPr>
              <w:pStyle w:val="Header"/>
              <w:jc w:val="both"/>
            </w:pPr>
            <w:r>
              <w:t xml:space="preserve">Concerns have been raised </w:t>
            </w:r>
            <w:r>
              <w:t>over</w:t>
            </w:r>
            <w:r>
              <w:t xml:space="preserve"> </w:t>
            </w:r>
            <w:r>
              <w:t xml:space="preserve">confusion caused by </w:t>
            </w:r>
            <w:r>
              <w:t>recent</w:t>
            </w:r>
            <w:r>
              <w:t>ly enacted</w:t>
            </w:r>
            <w:r>
              <w:t xml:space="preserve"> legislation </w:t>
            </w:r>
            <w:r>
              <w:t>regarding</w:t>
            </w:r>
            <w:r>
              <w:t xml:space="preserve"> </w:t>
            </w:r>
            <w:r>
              <w:t xml:space="preserve">the timeline for </w:t>
            </w:r>
            <w:r>
              <w:t xml:space="preserve">review of </w:t>
            </w:r>
            <w:r>
              <w:t xml:space="preserve">a </w:t>
            </w:r>
            <w:r w:rsidRPr="00D143CD">
              <w:t xml:space="preserve">ruling, </w:t>
            </w:r>
            <w:r w:rsidRPr="00D143CD">
              <w:t>order, or decision on a matter delegated to the executive director</w:t>
            </w:r>
            <w:r>
              <w:t xml:space="preserve"> of the </w:t>
            </w:r>
            <w:r w:rsidRPr="00D143CD">
              <w:t>Texas Commission on Environmental Quality</w:t>
            </w:r>
            <w:r>
              <w:t xml:space="preserve"> (TCEQ). </w:t>
            </w:r>
            <w:r>
              <w:t>Specifically, it has been suggested that the legislation sought to remedy a duplicative set of petition filing circumstances by dela</w:t>
            </w:r>
            <w:r>
              <w:t>ying the requirement for petition filing until after TCEQ had acted on any timely filed motion to overturn, but that the legislation inadvertently resulted in confusion as to which judicial appeals processes were governed by th</w:t>
            </w:r>
            <w:r>
              <w:t>e new</w:t>
            </w:r>
            <w:r>
              <w:t xml:space="preserve"> </w:t>
            </w:r>
            <w:r>
              <w:t>procedure</w:t>
            </w:r>
            <w:r>
              <w:t xml:space="preserve">. </w:t>
            </w:r>
            <w:r>
              <w:t xml:space="preserve">S.B. 2354 </w:t>
            </w:r>
            <w:r>
              <w:t>se</w:t>
            </w:r>
            <w:r>
              <w:t xml:space="preserve">eks to address these concerns by </w:t>
            </w:r>
            <w:r>
              <w:t>clarifying certain timelines</w:t>
            </w:r>
            <w:r>
              <w:t xml:space="preserve"> relating to </w:t>
            </w:r>
            <w:r w:rsidRPr="00D143CD">
              <w:t xml:space="preserve">judicial review of </w:t>
            </w:r>
            <w:r>
              <w:t xml:space="preserve">TCEQ </w:t>
            </w:r>
            <w:r w:rsidRPr="00D143CD">
              <w:t>acts</w:t>
            </w:r>
            <w:r>
              <w:t>.</w:t>
            </w:r>
          </w:p>
          <w:p w:rsidR="008423E4" w:rsidRPr="00E26B13" w:rsidRDefault="00106551" w:rsidP="006174D2">
            <w:pPr>
              <w:rPr>
                <w:b/>
              </w:rPr>
            </w:pPr>
          </w:p>
        </w:tc>
      </w:tr>
      <w:tr w:rsidR="00937815" w:rsidTr="00345119">
        <w:tc>
          <w:tcPr>
            <w:tcW w:w="9576" w:type="dxa"/>
          </w:tcPr>
          <w:p w:rsidR="0017725B" w:rsidRDefault="00106551" w:rsidP="006174D2">
            <w:pPr>
              <w:rPr>
                <w:b/>
                <w:u w:val="single"/>
              </w:rPr>
            </w:pPr>
            <w:r>
              <w:rPr>
                <w:b/>
                <w:u w:val="single"/>
              </w:rPr>
              <w:t>CRIMINAL JUSTICE IMPACT</w:t>
            </w:r>
          </w:p>
          <w:p w:rsidR="0017725B" w:rsidRDefault="00106551" w:rsidP="006174D2">
            <w:pPr>
              <w:rPr>
                <w:b/>
                <w:u w:val="single"/>
              </w:rPr>
            </w:pPr>
          </w:p>
          <w:p w:rsidR="007A4E13" w:rsidRPr="007A4E13" w:rsidRDefault="00106551" w:rsidP="006174D2">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106551" w:rsidP="006174D2">
            <w:pPr>
              <w:rPr>
                <w:b/>
                <w:u w:val="single"/>
              </w:rPr>
            </w:pPr>
          </w:p>
        </w:tc>
      </w:tr>
      <w:tr w:rsidR="00937815" w:rsidTr="00345119">
        <w:tc>
          <w:tcPr>
            <w:tcW w:w="9576" w:type="dxa"/>
          </w:tcPr>
          <w:p w:rsidR="008423E4" w:rsidRPr="00A8133F" w:rsidRDefault="00106551" w:rsidP="006174D2">
            <w:pPr>
              <w:rPr>
                <w:b/>
              </w:rPr>
            </w:pPr>
            <w:r w:rsidRPr="009C1E9A">
              <w:rPr>
                <w:b/>
                <w:u w:val="single"/>
              </w:rPr>
              <w:t>RULEMAKING AUTHORITY</w:t>
            </w:r>
            <w:r>
              <w:rPr>
                <w:b/>
              </w:rPr>
              <w:t xml:space="preserve"> </w:t>
            </w:r>
          </w:p>
          <w:p w:rsidR="008423E4" w:rsidRDefault="00106551" w:rsidP="006174D2"/>
          <w:p w:rsidR="007A4E13" w:rsidRDefault="00106551" w:rsidP="006174D2">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rsidR="008423E4" w:rsidRPr="00E21FDC" w:rsidRDefault="00106551" w:rsidP="006174D2">
            <w:pPr>
              <w:rPr>
                <w:b/>
              </w:rPr>
            </w:pPr>
          </w:p>
        </w:tc>
      </w:tr>
      <w:tr w:rsidR="00937815" w:rsidTr="00345119">
        <w:tc>
          <w:tcPr>
            <w:tcW w:w="9576" w:type="dxa"/>
          </w:tcPr>
          <w:p w:rsidR="008423E4" w:rsidRPr="00A8133F" w:rsidRDefault="00106551" w:rsidP="006174D2">
            <w:pPr>
              <w:rPr>
                <w:b/>
              </w:rPr>
            </w:pPr>
            <w:r w:rsidRPr="009C1E9A">
              <w:rPr>
                <w:b/>
                <w:u w:val="single"/>
              </w:rPr>
              <w:t>ANALYSIS</w:t>
            </w:r>
            <w:r>
              <w:rPr>
                <w:b/>
              </w:rPr>
              <w:t xml:space="preserve"> </w:t>
            </w:r>
          </w:p>
          <w:p w:rsidR="008423E4" w:rsidRDefault="00106551" w:rsidP="006174D2"/>
          <w:p w:rsidR="00A9273B" w:rsidRDefault="00106551" w:rsidP="006174D2">
            <w:pPr>
              <w:pStyle w:val="Header"/>
              <w:tabs>
                <w:tab w:val="clear" w:pos="4320"/>
                <w:tab w:val="clear" w:pos="8640"/>
              </w:tabs>
              <w:jc w:val="both"/>
            </w:pPr>
            <w:r>
              <w:t xml:space="preserve">S.B. 2354 amends the Health and Safety Code </w:t>
            </w:r>
            <w:r>
              <w:t xml:space="preserve">to </w:t>
            </w:r>
            <w:r>
              <w:t>standardize</w:t>
            </w:r>
            <w:r>
              <w:t xml:space="preserve"> the </w:t>
            </w:r>
            <w:r>
              <w:t xml:space="preserve">time in which the following petitions are required to be filed </w:t>
            </w:r>
            <w:r>
              <w:t>by conforming to</w:t>
            </w:r>
            <w:r>
              <w:t xml:space="preserve"> the time required by Water Code provisions relating to </w:t>
            </w:r>
            <w:r>
              <w:t xml:space="preserve">judicial review of </w:t>
            </w:r>
            <w:r w:rsidRPr="006101C2">
              <w:t>Texas Commission on Environmental Quality</w:t>
            </w:r>
            <w:r>
              <w:t xml:space="preserve"> (TCEQ) acts:</w:t>
            </w:r>
          </w:p>
          <w:p w:rsidR="006101C2" w:rsidRDefault="00106551" w:rsidP="006174D2">
            <w:pPr>
              <w:pStyle w:val="Header"/>
              <w:numPr>
                <w:ilvl w:val="0"/>
                <w:numId w:val="1"/>
              </w:numPr>
              <w:tabs>
                <w:tab w:val="clear" w:pos="4320"/>
                <w:tab w:val="clear" w:pos="8640"/>
              </w:tabs>
              <w:spacing w:before="120" w:after="120"/>
              <w:jc w:val="both"/>
            </w:pPr>
            <w:r>
              <w:t xml:space="preserve">a petition under the </w:t>
            </w:r>
            <w:r w:rsidRPr="006101C2">
              <w:t>Solid Waste Disposal Act</w:t>
            </w:r>
            <w:r>
              <w:t xml:space="preserve"> by a</w:t>
            </w:r>
            <w:r w:rsidRPr="006101C2">
              <w:t xml:space="preserve"> person affected by a ruling, order, decision, or other act of </w:t>
            </w:r>
            <w:r>
              <w:t xml:space="preserve">TCEQ </w:t>
            </w:r>
            <w:r>
              <w:t xml:space="preserve">to </w:t>
            </w:r>
            <w:r w:rsidRPr="006101C2">
              <w:t>appea</w:t>
            </w:r>
            <w:r w:rsidRPr="006101C2">
              <w:t>l the act</w:t>
            </w:r>
            <w:r>
              <w:t>;</w:t>
            </w:r>
          </w:p>
          <w:p w:rsidR="006101C2" w:rsidRDefault="00106551" w:rsidP="006174D2">
            <w:pPr>
              <w:pStyle w:val="Header"/>
              <w:numPr>
                <w:ilvl w:val="0"/>
                <w:numId w:val="1"/>
              </w:numPr>
              <w:tabs>
                <w:tab w:val="clear" w:pos="4320"/>
                <w:tab w:val="clear" w:pos="8640"/>
              </w:tabs>
              <w:spacing w:before="120" w:after="120"/>
              <w:jc w:val="both"/>
            </w:pPr>
            <w:r>
              <w:t xml:space="preserve">a petition under the </w:t>
            </w:r>
            <w:r w:rsidRPr="006101C2">
              <w:t>Solid Waste Disposal Act</w:t>
            </w:r>
            <w:r>
              <w:t xml:space="preserve"> </w:t>
            </w:r>
            <w:r>
              <w:t>by a person subject to a TCEQ</w:t>
            </w:r>
            <w:r w:rsidRPr="006101C2">
              <w:t xml:space="preserve"> administrative order</w:t>
            </w:r>
            <w:r>
              <w:t xml:space="preserve"> concerning </w:t>
            </w:r>
            <w:r w:rsidRPr="00131283">
              <w:t>imminent and substantial endangerment</w:t>
            </w:r>
            <w:r>
              <w:t xml:space="preserve"> </w:t>
            </w:r>
            <w:r>
              <w:t xml:space="preserve">to </w:t>
            </w:r>
            <w:r>
              <w:t>appeal the order;</w:t>
            </w:r>
            <w:r>
              <w:t xml:space="preserve"> and</w:t>
            </w:r>
          </w:p>
          <w:p w:rsidR="00A9273B" w:rsidRDefault="00106551" w:rsidP="006174D2">
            <w:pPr>
              <w:pStyle w:val="Header"/>
              <w:numPr>
                <w:ilvl w:val="0"/>
                <w:numId w:val="1"/>
              </w:numPr>
              <w:tabs>
                <w:tab w:val="clear" w:pos="4320"/>
                <w:tab w:val="clear" w:pos="8640"/>
              </w:tabs>
              <w:spacing w:before="120" w:after="120"/>
              <w:jc w:val="both"/>
            </w:pPr>
            <w:r>
              <w:t>a petition under the</w:t>
            </w:r>
            <w:r w:rsidRPr="003521D5">
              <w:t xml:space="preserve"> Texas Clean Air Act</w:t>
            </w:r>
            <w:r>
              <w:t xml:space="preserve"> by a person </w:t>
            </w:r>
            <w:r w:rsidRPr="006D43C4">
              <w:t xml:space="preserve">affected by a ruling, order, decision, or other act of </w:t>
            </w:r>
            <w:r>
              <w:t>TCEQ</w:t>
            </w:r>
            <w:r w:rsidRPr="006D43C4">
              <w:t xml:space="preserve"> or of the</w:t>
            </w:r>
            <w:r>
              <w:t xml:space="preserve"> TCEQ</w:t>
            </w:r>
            <w:r w:rsidRPr="006D43C4">
              <w:t xml:space="preserve"> executive director</w:t>
            </w:r>
            <w:r>
              <w:t xml:space="preserve">, as applicable, </w:t>
            </w:r>
            <w:r>
              <w:t xml:space="preserve">to </w:t>
            </w:r>
            <w:r w:rsidRPr="006D43C4">
              <w:t>appeal the act</w:t>
            </w:r>
            <w:r>
              <w:t>.</w:t>
            </w:r>
          </w:p>
          <w:p w:rsidR="008E03C8" w:rsidRDefault="00106551" w:rsidP="006174D2">
            <w:pPr>
              <w:pStyle w:val="Header"/>
              <w:tabs>
                <w:tab w:val="clear" w:pos="4320"/>
                <w:tab w:val="clear" w:pos="8640"/>
              </w:tabs>
              <w:jc w:val="both"/>
            </w:pPr>
          </w:p>
          <w:p w:rsidR="006D43C4" w:rsidRDefault="00106551" w:rsidP="006174D2">
            <w:pPr>
              <w:pStyle w:val="Header"/>
              <w:tabs>
                <w:tab w:val="clear" w:pos="4320"/>
                <w:tab w:val="clear" w:pos="8640"/>
              </w:tabs>
              <w:jc w:val="both"/>
            </w:pPr>
            <w:r>
              <w:t xml:space="preserve">S.B. 2354 amends the Water Code to specify that </w:t>
            </w:r>
            <w:r>
              <w:t xml:space="preserve">the </w:t>
            </w:r>
            <w:r>
              <w:t xml:space="preserve">authorization for a </w:t>
            </w:r>
            <w:r w:rsidRPr="00755F17">
              <w:t>person affected by a ruling, order, or decision on a m</w:t>
            </w:r>
            <w:r w:rsidRPr="00755F17">
              <w:t xml:space="preserve">atter delegated to the </w:t>
            </w:r>
            <w:r>
              <w:t xml:space="preserve">TCEQ </w:t>
            </w:r>
            <w:r w:rsidRPr="00755F17">
              <w:t>executive director</w:t>
            </w:r>
            <w:r>
              <w:t xml:space="preserve"> to file, </w:t>
            </w:r>
            <w:r w:rsidRPr="00755F17">
              <w:t>after exhausting any administrative remedies</w:t>
            </w:r>
            <w:r>
              <w:t xml:space="preserve">, </w:t>
            </w:r>
            <w:r w:rsidRPr="00755F17">
              <w:t>a petition to review, set aside, modify, or suspend the ruling, order, or decision</w:t>
            </w:r>
            <w:r>
              <w:t xml:space="preserve"> by a certain deadline applies notwithstanding </w:t>
            </w:r>
            <w:r w:rsidRPr="00755F17">
              <w:t>a</w:t>
            </w:r>
            <w:r>
              <w:t>nother</w:t>
            </w:r>
            <w:r w:rsidRPr="00755F17">
              <w:t xml:space="preserve"> provision of law </w:t>
            </w:r>
            <w:r w:rsidRPr="00755F17">
              <w:t>to the contrary</w:t>
            </w:r>
            <w:r>
              <w:t>.</w:t>
            </w:r>
          </w:p>
          <w:p w:rsidR="008E03C8" w:rsidRDefault="00106551" w:rsidP="006174D2">
            <w:pPr>
              <w:pStyle w:val="Header"/>
              <w:tabs>
                <w:tab w:val="clear" w:pos="4320"/>
                <w:tab w:val="clear" w:pos="8640"/>
              </w:tabs>
              <w:jc w:val="both"/>
            </w:pPr>
          </w:p>
          <w:p w:rsidR="008423E4" w:rsidRPr="00835628" w:rsidRDefault="00106551" w:rsidP="006174D2">
            <w:pPr>
              <w:rPr>
                <w:b/>
              </w:rPr>
            </w:pPr>
          </w:p>
        </w:tc>
      </w:tr>
      <w:tr w:rsidR="00937815" w:rsidTr="00345119">
        <w:tc>
          <w:tcPr>
            <w:tcW w:w="9576" w:type="dxa"/>
          </w:tcPr>
          <w:p w:rsidR="008423E4" w:rsidRPr="00A8133F" w:rsidRDefault="00106551" w:rsidP="006174D2">
            <w:pPr>
              <w:rPr>
                <w:b/>
              </w:rPr>
            </w:pPr>
            <w:r w:rsidRPr="009C1E9A">
              <w:rPr>
                <w:b/>
                <w:u w:val="single"/>
              </w:rPr>
              <w:t>EFFECTIVE DATE</w:t>
            </w:r>
            <w:r>
              <w:rPr>
                <w:b/>
              </w:rPr>
              <w:t xml:space="preserve"> </w:t>
            </w:r>
          </w:p>
          <w:p w:rsidR="008423E4" w:rsidRDefault="00106551" w:rsidP="006174D2"/>
          <w:p w:rsidR="008423E4" w:rsidRPr="003624F2" w:rsidRDefault="00106551" w:rsidP="006174D2">
            <w:pPr>
              <w:pStyle w:val="Header"/>
              <w:tabs>
                <w:tab w:val="clear" w:pos="4320"/>
                <w:tab w:val="clear" w:pos="8640"/>
              </w:tabs>
              <w:jc w:val="both"/>
            </w:pPr>
            <w:r>
              <w:t>September 1, 2019.</w:t>
            </w:r>
          </w:p>
          <w:p w:rsidR="008423E4" w:rsidRPr="00233FDB" w:rsidRDefault="00106551" w:rsidP="006174D2">
            <w:pPr>
              <w:rPr>
                <w:b/>
              </w:rPr>
            </w:pPr>
          </w:p>
        </w:tc>
      </w:tr>
    </w:tbl>
    <w:p w:rsidR="008423E4" w:rsidRPr="006174D2" w:rsidRDefault="00106551" w:rsidP="008423E4">
      <w:pPr>
        <w:spacing w:line="480" w:lineRule="auto"/>
        <w:jc w:val="both"/>
        <w:rPr>
          <w:rFonts w:ascii="Arial" w:hAnsi="Arial"/>
          <w:sz w:val="6"/>
          <w:szCs w:val="16"/>
        </w:rPr>
      </w:pPr>
    </w:p>
    <w:p w:rsidR="004108C3" w:rsidRPr="006174D2" w:rsidRDefault="00106551" w:rsidP="008423E4">
      <w:pPr>
        <w:rPr>
          <w:sz w:val="2"/>
        </w:rPr>
      </w:pPr>
    </w:p>
    <w:sectPr w:rsidR="004108C3" w:rsidRPr="006174D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6551">
      <w:r>
        <w:separator/>
      </w:r>
    </w:p>
  </w:endnote>
  <w:endnote w:type="continuationSeparator" w:id="0">
    <w:p w:rsidR="00000000" w:rsidRDefault="0010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ED" w:rsidRDefault="00106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37815" w:rsidTr="009C1E9A">
      <w:trPr>
        <w:cantSplit/>
      </w:trPr>
      <w:tc>
        <w:tcPr>
          <w:tcW w:w="0" w:type="pct"/>
        </w:tcPr>
        <w:p w:rsidR="00137D90" w:rsidRDefault="00106551" w:rsidP="009C1E9A">
          <w:pPr>
            <w:pStyle w:val="Footer"/>
            <w:tabs>
              <w:tab w:val="clear" w:pos="8640"/>
              <w:tab w:val="right" w:pos="9360"/>
            </w:tabs>
          </w:pPr>
        </w:p>
      </w:tc>
      <w:tc>
        <w:tcPr>
          <w:tcW w:w="2395" w:type="pct"/>
        </w:tcPr>
        <w:p w:rsidR="00137D90" w:rsidRPr="006174D2" w:rsidRDefault="00106551" w:rsidP="009C1E9A">
          <w:pPr>
            <w:pStyle w:val="Footer"/>
            <w:tabs>
              <w:tab w:val="clear" w:pos="8640"/>
              <w:tab w:val="right" w:pos="9360"/>
            </w:tabs>
            <w:rPr>
              <w:sz w:val="2"/>
            </w:rPr>
          </w:pPr>
        </w:p>
        <w:p w:rsidR="001A4310" w:rsidRPr="006174D2" w:rsidRDefault="00106551" w:rsidP="009C1E9A">
          <w:pPr>
            <w:pStyle w:val="Footer"/>
            <w:tabs>
              <w:tab w:val="clear" w:pos="8640"/>
              <w:tab w:val="right" w:pos="9360"/>
            </w:tabs>
            <w:rPr>
              <w:sz w:val="2"/>
            </w:rPr>
          </w:pPr>
        </w:p>
        <w:p w:rsidR="00137D90" w:rsidRDefault="00106551" w:rsidP="009C1E9A">
          <w:pPr>
            <w:pStyle w:val="Footer"/>
            <w:tabs>
              <w:tab w:val="clear" w:pos="8640"/>
              <w:tab w:val="right" w:pos="9360"/>
            </w:tabs>
          </w:pPr>
        </w:p>
      </w:tc>
      <w:tc>
        <w:tcPr>
          <w:tcW w:w="2453" w:type="pct"/>
        </w:tcPr>
        <w:p w:rsidR="00137D90" w:rsidRDefault="00106551" w:rsidP="009C1E9A">
          <w:pPr>
            <w:pStyle w:val="Footer"/>
            <w:tabs>
              <w:tab w:val="clear" w:pos="8640"/>
              <w:tab w:val="right" w:pos="9360"/>
            </w:tabs>
            <w:jc w:val="right"/>
          </w:pPr>
        </w:p>
      </w:tc>
    </w:tr>
    <w:tr w:rsidR="00937815" w:rsidTr="009C1E9A">
      <w:trPr>
        <w:cantSplit/>
      </w:trPr>
      <w:tc>
        <w:tcPr>
          <w:tcW w:w="0" w:type="pct"/>
        </w:tcPr>
        <w:p w:rsidR="00EC379B" w:rsidRDefault="00106551" w:rsidP="009C1E9A">
          <w:pPr>
            <w:pStyle w:val="Footer"/>
            <w:tabs>
              <w:tab w:val="clear" w:pos="8640"/>
              <w:tab w:val="right" w:pos="9360"/>
            </w:tabs>
          </w:pPr>
        </w:p>
      </w:tc>
      <w:tc>
        <w:tcPr>
          <w:tcW w:w="2395" w:type="pct"/>
        </w:tcPr>
        <w:p w:rsidR="00EC379B" w:rsidRPr="009C1E9A" w:rsidRDefault="00106551" w:rsidP="009C1E9A">
          <w:pPr>
            <w:pStyle w:val="Footer"/>
            <w:tabs>
              <w:tab w:val="clear" w:pos="8640"/>
              <w:tab w:val="right" w:pos="9360"/>
            </w:tabs>
            <w:rPr>
              <w:rFonts w:ascii="Shruti" w:hAnsi="Shruti"/>
              <w:sz w:val="22"/>
            </w:rPr>
          </w:pPr>
          <w:r>
            <w:rPr>
              <w:rFonts w:ascii="Shruti" w:hAnsi="Shruti"/>
              <w:sz w:val="22"/>
            </w:rPr>
            <w:t>86R 32785</w:t>
          </w:r>
        </w:p>
      </w:tc>
      <w:tc>
        <w:tcPr>
          <w:tcW w:w="2453" w:type="pct"/>
        </w:tcPr>
        <w:p w:rsidR="00EC379B" w:rsidRDefault="00106551" w:rsidP="009C1E9A">
          <w:pPr>
            <w:pStyle w:val="Footer"/>
            <w:tabs>
              <w:tab w:val="clear" w:pos="8640"/>
              <w:tab w:val="right" w:pos="9360"/>
            </w:tabs>
            <w:jc w:val="right"/>
          </w:pPr>
          <w:r>
            <w:fldChar w:fldCharType="begin"/>
          </w:r>
          <w:r>
            <w:instrText xml:space="preserve"> DOCPROPERTY  OTID  \* MERGEFORMAT </w:instrText>
          </w:r>
          <w:r>
            <w:fldChar w:fldCharType="separate"/>
          </w:r>
          <w:r>
            <w:t>19.128.890</w:t>
          </w:r>
          <w:r>
            <w:fldChar w:fldCharType="end"/>
          </w:r>
        </w:p>
      </w:tc>
    </w:tr>
    <w:tr w:rsidR="00937815" w:rsidTr="009C1E9A">
      <w:trPr>
        <w:cantSplit/>
      </w:trPr>
      <w:tc>
        <w:tcPr>
          <w:tcW w:w="0" w:type="pct"/>
        </w:tcPr>
        <w:p w:rsidR="00EC379B" w:rsidRDefault="00106551" w:rsidP="009C1E9A">
          <w:pPr>
            <w:pStyle w:val="Footer"/>
            <w:tabs>
              <w:tab w:val="clear" w:pos="4320"/>
              <w:tab w:val="clear" w:pos="8640"/>
              <w:tab w:val="left" w:pos="2865"/>
            </w:tabs>
          </w:pPr>
        </w:p>
      </w:tc>
      <w:tc>
        <w:tcPr>
          <w:tcW w:w="2395" w:type="pct"/>
        </w:tcPr>
        <w:p w:rsidR="00EC379B" w:rsidRPr="009C1E9A" w:rsidRDefault="00106551" w:rsidP="009C1E9A">
          <w:pPr>
            <w:pStyle w:val="Footer"/>
            <w:tabs>
              <w:tab w:val="clear" w:pos="4320"/>
              <w:tab w:val="clear" w:pos="8640"/>
              <w:tab w:val="left" w:pos="2865"/>
            </w:tabs>
            <w:rPr>
              <w:rFonts w:ascii="Shruti" w:hAnsi="Shruti"/>
              <w:sz w:val="22"/>
            </w:rPr>
          </w:pPr>
        </w:p>
      </w:tc>
      <w:tc>
        <w:tcPr>
          <w:tcW w:w="2453" w:type="pct"/>
        </w:tcPr>
        <w:p w:rsidR="00EC379B" w:rsidRPr="006174D2" w:rsidRDefault="00106551" w:rsidP="006D504F">
          <w:pPr>
            <w:pStyle w:val="Footer"/>
            <w:rPr>
              <w:rStyle w:val="PageNumber"/>
              <w:sz w:val="18"/>
            </w:rPr>
          </w:pPr>
        </w:p>
        <w:p w:rsidR="00EC379B" w:rsidRDefault="00106551" w:rsidP="009C1E9A">
          <w:pPr>
            <w:pStyle w:val="Footer"/>
            <w:tabs>
              <w:tab w:val="clear" w:pos="8640"/>
              <w:tab w:val="right" w:pos="9360"/>
            </w:tabs>
            <w:jc w:val="right"/>
          </w:pPr>
        </w:p>
      </w:tc>
    </w:tr>
    <w:tr w:rsidR="00937815" w:rsidTr="009C1E9A">
      <w:trPr>
        <w:cantSplit/>
        <w:trHeight w:val="323"/>
      </w:trPr>
      <w:tc>
        <w:tcPr>
          <w:tcW w:w="0" w:type="pct"/>
          <w:gridSpan w:val="3"/>
        </w:tcPr>
        <w:p w:rsidR="00EC379B" w:rsidRDefault="0010655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06551" w:rsidP="009C1E9A">
          <w:pPr>
            <w:pStyle w:val="Footer"/>
            <w:tabs>
              <w:tab w:val="clear" w:pos="8640"/>
              <w:tab w:val="right" w:pos="9360"/>
            </w:tabs>
            <w:jc w:val="center"/>
          </w:pPr>
        </w:p>
      </w:tc>
    </w:tr>
  </w:tbl>
  <w:p w:rsidR="00EC379B" w:rsidRPr="00FF6F72" w:rsidRDefault="0010655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ED" w:rsidRDefault="0010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6551">
      <w:r>
        <w:separator/>
      </w:r>
    </w:p>
  </w:footnote>
  <w:footnote w:type="continuationSeparator" w:id="0">
    <w:p w:rsidR="00000000" w:rsidRDefault="0010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ED" w:rsidRDefault="00106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ED" w:rsidRDefault="00106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ED" w:rsidRDefault="0010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4297"/>
    <w:multiLevelType w:val="hybridMultilevel"/>
    <w:tmpl w:val="C27823A6"/>
    <w:lvl w:ilvl="0" w:tplc="780492B8">
      <w:start w:val="1"/>
      <w:numFmt w:val="bullet"/>
      <w:lvlText w:val=""/>
      <w:lvlJc w:val="left"/>
      <w:pPr>
        <w:tabs>
          <w:tab w:val="num" w:pos="720"/>
        </w:tabs>
        <w:ind w:left="720" w:hanging="360"/>
      </w:pPr>
      <w:rPr>
        <w:rFonts w:ascii="Symbol" w:hAnsi="Symbol" w:hint="default"/>
      </w:rPr>
    </w:lvl>
    <w:lvl w:ilvl="1" w:tplc="346C69A0" w:tentative="1">
      <w:start w:val="1"/>
      <w:numFmt w:val="bullet"/>
      <w:lvlText w:val="o"/>
      <w:lvlJc w:val="left"/>
      <w:pPr>
        <w:ind w:left="1440" w:hanging="360"/>
      </w:pPr>
      <w:rPr>
        <w:rFonts w:ascii="Courier New" w:hAnsi="Courier New" w:cs="Courier New" w:hint="default"/>
      </w:rPr>
    </w:lvl>
    <w:lvl w:ilvl="2" w:tplc="99B8C9FC" w:tentative="1">
      <w:start w:val="1"/>
      <w:numFmt w:val="bullet"/>
      <w:lvlText w:val=""/>
      <w:lvlJc w:val="left"/>
      <w:pPr>
        <w:ind w:left="2160" w:hanging="360"/>
      </w:pPr>
      <w:rPr>
        <w:rFonts w:ascii="Wingdings" w:hAnsi="Wingdings" w:hint="default"/>
      </w:rPr>
    </w:lvl>
    <w:lvl w:ilvl="3" w:tplc="68A049E6" w:tentative="1">
      <w:start w:val="1"/>
      <w:numFmt w:val="bullet"/>
      <w:lvlText w:val=""/>
      <w:lvlJc w:val="left"/>
      <w:pPr>
        <w:ind w:left="2880" w:hanging="360"/>
      </w:pPr>
      <w:rPr>
        <w:rFonts w:ascii="Symbol" w:hAnsi="Symbol" w:hint="default"/>
      </w:rPr>
    </w:lvl>
    <w:lvl w:ilvl="4" w:tplc="5146599C" w:tentative="1">
      <w:start w:val="1"/>
      <w:numFmt w:val="bullet"/>
      <w:lvlText w:val="o"/>
      <w:lvlJc w:val="left"/>
      <w:pPr>
        <w:ind w:left="3600" w:hanging="360"/>
      </w:pPr>
      <w:rPr>
        <w:rFonts w:ascii="Courier New" w:hAnsi="Courier New" w:cs="Courier New" w:hint="default"/>
      </w:rPr>
    </w:lvl>
    <w:lvl w:ilvl="5" w:tplc="1DE2C2B2" w:tentative="1">
      <w:start w:val="1"/>
      <w:numFmt w:val="bullet"/>
      <w:lvlText w:val=""/>
      <w:lvlJc w:val="left"/>
      <w:pPr>
        <w:ind w:left="4320" w:hanging="360"/>
      </w:pPr>
      <w:rPr>
        <w:rFonts w:ascii="Wingdings" w:hAnsi="Wingdings" w:hint="default"/>
      </w:rPr>
    </w:lvl>
    <w:lvl w:ilvl="6" w:tplc="CEB8E1E6" w:tentative="1">
      <w:start w:val="1"/>
      <w:numFmt w:val="bullet"/>
      <w:lvlText w:val=""/>
      <w:lvlJc w:val="left"/>
      <w:pPr>
        <w:ind w:left="5040" w:hanging="360"/>
      </w:pPr>
      <w:rPr>
        <w:rFonts w:ascii="Symbol" w:hAnsi="Symbol" w:hint="default"/>
      </w:rPr>
    </w:lvl>
    <w:lvl w:ilvl="7" w:tplc="F00EEEF6" w:tentative="1">
      <w:start w:val="1"/>
      <w:numFmt w:val="bullet"/>
      <w:lvlText w:val="o"/>
      <w:lvlJc w:val="left"/>
      <w:pPr>
        <w:ind w:left="5760" w:hanging="360"/>
      </w:pPr>
      <w:rPr>
        <w:rFonts w:ascii="Courier New" w:hAnsi="Courier New" w:cs="Courier New" w:hint="default"/>
      </w:rPr>
    </w:lvl>
    <w:lvl w:ilvl="8" w:tplc="FAE6F2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15"/>
    <w:rsid w:val="00106551"/>
    <w:rsid w:val="0093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E5D9F-211C-4140-9826-97C0861A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072F"/>
    <w:rPr>
      <w:sz w:val="16"/>
      <w:szCs w:val="16"/>
    </w:rPr>
  </w:style>
  <w:style w:type="paragraph" w:styleId="CommentText">
    <w:name w:val="annotation text"/>
    <w:basedOn w:val="Normal"/>
    <w:link w:val="CommentTextChar"/>
    <w:semiHidden/>
    <w:unhideWhenUsed/>
    <w:rsid w:val="00BF072F"/>
    <w:rPr>
      <w:sz w:val="20"/>
      <w:szCs w:val="20"/>
    </w:rPr>
  </w:style>
  <w:style w:type="character" w:customStyle="1" w:styleId="CommentTextChar">
    <w:name w:val="Comment Text Char"/>
    <w:basedOn w:val="DefaultParagraphFont"/>
    <w:link w:val="CommentText"/>
    <w:semiHidden/>
    <w:rsid w:val="00BF072F"/>
  </w:style>
  <w:style w:type="paragraph" w:styleId="CommentSubject">
    <w:name w:val="annotation subject"/>
    <w:basedOn w:val="CommentText"/>
    <w:next w:val="CommentText"/>
    <w:link w:val="CommentSubjectChar"/>
    <w:semiHidden/>
    <w:unhideWhenUsed/>
    <w:rsid w:val="00BF072F"/>
    <w:rPr>
      <w:b/>
      <w:bCs/>
    </w:rPr>
  </w:style>
  <w:style w:type="character" w:customStyle="1" w:styleId="CommentSubjectChar">
    <w:name w:val="Comment Subject Char"/>
    <w:basedOn w:val="CommentTextChar"/>
    <w:link w:val="CommentSubject"/>
    <w:semiHidden/>
    <w:rsid w:val="00BF072F"/>
    <w:rPr>
      <w:b/>
      <w:bCs/>
    </w:rPr>
  </w:style>
  <w:style w:type="character" w:styleId="Hyperlink">
    <w:name w:val="Hyperlink"/>
    <w:basedOn w:val="DefaultParagraphFont"/>
    <w:unhideWhenUsed/>
    <w:rsid w:val="00BF072F"/>
    <w:rPr>
      <w:color w:val="0000FF" w:themeColor="hyperlink"/>
      <w:u w:val="single"/>
    </w:rPr>
  </w:style>
  <w:style w:type="character" w:styleId="FollowedHyperlink">
    <w:name w:val="FollowedHyperlink"/>
    <w:basedOn w:val="DefaultParagraphFont"/>
    <w:semiHidden/>
    <w:unhideWhenUsed/>
    <w:rsid w:val="00AF4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2146</Characters>
  <Application>Microsoft Office Word</Application>
  <DocSecurity>4</DocSecurity>
  <Lines>58</Lines>
  <Paragraphs>19</Paragraphs>
  <ScaleCrop>false</ScaleCrop>
  <HeadingPairs>
    <vt:vector size="2" baseType="variant">
      <vt:variant>
        <vt:lpstr>Title</vt:lpstr>
      </vt:variant>
      <vt:variant>
        <vt:i4>1</vt:i4>
      </vt:variant>
    </vt:vector>
  </HeadingPairs>
  <TitlesOfParts>
    <vt:vector size="1" baseType="lpstr">
      <vt:lpstr>BA - SB02354 (Committee Report (Unamended))</vt:lpstr>
    </vt:vector>
  </TitlesOfParts>
  <Company>State of Texas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32785</dc:subject>
  <dc:creator>State of Texas</dc:creator>
  <dc:description>SB 2354 by Zaffirini-(H)Environmental Regulation</dc:description>
  <cp:lastModifiedBy>Scotty Wimberley</cp:lastModifiedBy>
  <cp:revision>2</cp:revision>
  <cp:lastPrinted>2003-11-26T17:21:00Z</cp:lastPrinted>
  <dcterms:created xsi:type="dcterms:W3CDTF">2019-05-14T22:33:00Z</dcterms:created>
  <dcterms:modified xsi:type="dcterms:W3CDTF">2019-05-14T22:33:00Z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19.128.890</vt:lpwstr>
  </property>
</Properties>
</file>