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D2393" w:rsidTr="00345119">
        <w:tc>
          <w:tcPr>
            <w:tcW w:w="9576" w:type="dxa"/>
            <w:noWrap/>
          </w:tcPr>
          <w:p w:rsidR="008423E4" w:rsidRPr="0022177D" w:rsidRDefault="001C3FB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C3FB1" w:rsidP="008423E4">
      <w:pPr>
        <w:jc w:val="center"/>
      </w:pPr>
    </w:p>
    <w:p w:rsidR="008423E4" w:rsidRPr="00B31F0E" w:rsidRDefault="001C3FB1" w:rsidP="008423E4"/>
    <w:p w:rsidR="008423E4" w:rsidRPr="00742794" w:rsidRDefault="001C3FB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D2393" w:rsidTr="00345119">
        <w:tc>
          <w:tcPr>
            <w:tcW w:w="9576" w:type="dxa"/>
          </w:tcPr>
          <w:p w:rsidR="008423E4" w:rsidRPr="00861995" w:rsidRDefault="001C3FB1" w:rsidP="00345119">
            <w:pPr>
              <w:jc w:val="right"/>
            </w:pPr>
            <w:r>
              <w:t>S.B. 2390</w:t>
            </w:r>
          </w:p>
        </w:tc>
      </w:tr>
      <w:tr w:rsidR="00DD2393" w:rsidTr="00345119">
        <w:tc>
          <w:tcPr>
            <w:tcW w:w="9576" w:type="dxa"/>
          </w:tcPr>
          <w:p w:rsidR="008423E4" w:rsidRPr="00861995" w:rsidRDefault="001C3FB1" w:rsidP="00CB1BF8">
            <w:pPr>
              <w:jc w:val="right"/>
            </w:pPr>
            <w:r>
              <w:t xml:space="preserve">By: </w:t>
            </w:r>
            <w:r>
              <w:t>Powell</w:t>
            </w:r>
          </w:p>
        </w:tc>
      </w:tr>
      <w:tr w:rsidR="00DD2393" w:rsidTr="00345119">
        <w:tc>
          <w:tcPr>
            <w:tcW w:w="9576" w:type="dxa"/>
          </w:tcPr>
          <w:p w:rsidR="008423E4" w:rsidRPr="00861995" w:rsidRDefault="001C3FB1" w:rsidP="00345119">
            <w:pPr>
              <w:jc w:val="right"/>
            </w:pPr>
            <w:r>
              <w:t>Criminal Jurisprudence</w:t>
            </w:r>
          </w:p>
        </w:tc>
      </w:tr>
      <w:tr w:rsidR="00DD2393" w:rsidTr="00345119">
        <w:tc>
          <w:tcPr>
            <w:tcW w:w="9576" w:type="dxa"/>
          </w:tcPr>
          <w:p w:rsidR="008423E4" w:rsidRDefault="001C3FB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C3FB1" w:rsidP="008423E4">
      <w:pPr>
        <w:tabs>
          <w:tab w:val="right" w:pos="9360"/>
        </w:tabs>
      </w:pPr>
    </w:p>
    <w:p w:rsidR="008423E4" w:rsidRDefault="001C3FB1" w:rsidP="008423E4"/>
    <w:p w:rsidR="008423E4" w:rsidRDefault="001C3FB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D2393" w:rsidTr="00345119">
        <w:tc>
          <w:tcPr>
            <w:tcW w:w="9576" w:type="dxa"/>
          </w:tcPr>
          <w:p w:rsidR="008423E4" w:rsidRPr="00A8133F" w:rsidRDefault="001C3FB1" w:rsidP="00135A0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C3FB1" w:rsidP="00135A0B"/>
          <w:p w:rsidR="008423E4" w:rsidRDefault="001C3FB1" w:rsidP="00135A0B">
            <w:pPr>
              <w:pStyle w:val="Header"/>
              <w:jc w:val="both"/>
            </w:pPr>
            <w:r>
              <w:t xml:space="preserve">Concerns have been raised </w:t>
            </w:r>
            <w:r>
              <w:t xml:space="preserve">that the confidentiality of </w:t>
            </w:r>
            <w:r>
              <w:t xml:space="preserve">mailing address </w:t>
            </w:r>
            <w:r>
              <w:t xml:space="preserve">information relating to certain protective orders makes it difficult for law enforcement </w:t>
            </w:r>
            <w:r>
              <w:t xml:space="preserve">to </w:t>
            </w:r>
            <w:r>
              <w:t xml:space="preserve">access </w:t>
            </w:r>
            <w:r>
              <w:t xml:space="preserve">details </w:t>
            </w:r>
            <w:r>
              <w:t xml:space="preserve">necessary </w:t>
            </w:r>
            <w:r>
              <w:t xml:space="preserve">for the </w:t>
            </w:r>
            <w:r>
              <w:t>enforce</w:t>
            </w:r>
            <w:r>
              <w:t>ment of</w:t>
            </w:r>
            <w:r>
              <w:t xml:space="preserve"> </w:t>
            </w:r>
            <w:r>
              <w:t xml:space="preserve">these </w:t>
            </w:r>
            <w:r>
              <w:t>protective order</w:t>
            </w:r>
            <w:r>
              <w:t xml:space="preserve">s. </w:t>
            </w:r>
            <w:r>
              <w:t>S.B. 2390</w:t>
            </w:r>
            <w:r>
              <w:t xml:space="preserve"> seeks to address this issue by providing for the access </w:t>
            </w:r>
            <w:r>
              <w:t xml:space="preserve">to </w:t>
            </w:r>
            <w:r>
              <w:t>this information by la</w:t>
            </w:r>
            <w:r>
              <w:t>w enforcement</w:t>
            </w:r>
            <w:r>
              <w:t>.</w:t>
            </w:r>
          </w:p>
          <w:p w:rsidR="008423E4" w:rsidRPr="00E26B13" w:rsidRDefault="001C3FB1" w:rsidP="00135A0B">
            <w:pPr>
              <w:rPr>
                <w:b/>
              </w:rPr>
            </w:pPr>
          </w:p>
        </w:tc>
      </w:tr>
      <w:tr w:rsidR="00DD2393" w:rsidTr="00345119">
        <w:tc>
          <w:tcPr>
            <w:tcW w:w="9576" w:type="dxa"/>
          </w:tcPr>
          <w:p w:rsidR="0017725B" w:rsidRDefault="001C3FB1" w:rsidP="00135A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C3FB1" w:rsidP="00135A0B">
            <w:pPr>
              <w:rPr>
                <w:b/>
                <w:u w:val="single"/>
              </w:rPr>
            </w:pPr>
          </w:p>
          <w:p w:rsidR="000D0B5A" w:rsidRPr="000D0B5A" w:rsidRDefault="001C3FB1" w:rsidP="00135A0B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</w:t>
            </w:r>
            <w:r>
              <w:t xml:space="preserve"> community supervision, parole, or mandatory supervision.</w:t>
            </w:r>
          </w:p>
          <w:p w:rsidR="0017725B" w:rsidRPr="0017725B" w:rsidRDefault="001C3FB1" w:rsidP="00135A0B">
            <w:pPr>
              <w:rPr>
                <w:b/>
                <w:u w:val="single"/>
              </w:rPr>
            </w:pPr>
          </w:p>
        </w:tc>
      </w:tr>
      <w:tr w:rsidR="00DD2393" w:rsidTr="00345119">
        <w:tc>
          <w:tcPr>
            <w:tcW w:w="9576" w:type="dxa"/>
          </w:tcPr>
          <w:p w:rsidR="008423E4" w:rsidRPr="00A8133F" w:rsidRDefault="001C3FB1" w:rsidP="00135A0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C3FB1" w:rsidP="00135A0B"/>
          <w:p w:rsidR="000D0B5A" w:rsidRDefault="001C3FB1" w:rsidP="00135A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1C3FB1" w:rsidP="00135A0B">
            <w:pPr>
              <w:rPr>
                <w:b/>
              </w:rPr>
            </w:pPr>
          </w:p>
        </w:tc>
      </w:tr>
      <w:tr w:rsidR="00DD2393" w:rsidTr="00345119">
        <w:tc>
          <w:tcPr>
            <w:tcW w:w="9576" w:type="dxa"/>
          </w:tcPr>
          <w:p w:rsidR="008423E4" w:rsidRDefault="001C3FB1" w:rsidP="00135A0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936EA0" w:rsidRPr="00CC7A9F" w:rsidRDefault="001C3FB1" w:rsidP="00135A0B">
            <w:pPr>
              <w:rPr>
                <w:b/>
              </w:rPr>
            </w:pPr>
          </w:p>
          <w:p w:rsidR="00EC4430" w:rsidRDefault="001C3FB1" w:rsidP="00135A0B">
            <w:pPr>
              <w:pStyle w:val="Header"/>
              <w:jc w:val="both"/>
            </w:pPr>
            <w:r>
              <w:t>S.B. 2390</w:t>
            </w:r>
            <w:r>
              <w:t xml:space="preserve"> amends the Code of Criminal Procedure to authorize </w:t>
            </w:r>
            <w:r>
              <w:t xml:space="preserve">a </w:t>
            </w:r>
            <w:r>
              <w:t>court issuing an order for emergency protection, on request by a person protected by the order or if determined necessary by the magistrate, to protect the person's mailing address by renderi</w:t>
            </w:r>
            <w:r>
              <w:t xml:space="preserve">ng an order: </w:t>
            </w:r>
          </w:p>
          <w:p w:rsidR="00EC4430" w:rsidRDefault="001C3FB1" w:rsidP="00135A0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requiring the person protected under the order to: </w:t>
            </w:r>
          </w:p>
          <w:p w:rsidR="00EC4430" w:rsidRDefault="001C3FB1" w:rsidP="00135A0B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disclose the person's mailing address to the court</w:t>
            </w:r>
            <w:r>
              <w:t xml:space="preserve">; </w:t>
            </w:r>
          </w:p>
          <w:p w:rsidR="00EC4430" w:rsidRDefault="001C3FB1" w:rsidP="00135A0B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designate another person to receive on behalf of the person any notice or documents filed with the court related to the order</w:t>
            </w:r>
            <w:r>
              <w:t xml:space="preserve">; </w:t>
            </w:r>
            <w:r>
              <w:t xml:space="preserve">and </w:t>
            </w:r>
          </w:p>
          <w:p w:rsidR="00EC4430" w:rsidRDefault="001C3FB1" w:rsidP="00135A0B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discl</w:t>
            </w:r>
            <w:r>
              <w:t xml:space="preserve">ose the designated person's mailing address to the court; </w:t>
            </w:r>
          </w:p>
          <w:p w:rsidR="00EC4430" w:rsidRDefault="001C3FB1" w:rsidP="00135A0B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requiring the county clerk to: </w:t>
            </w:r>
          </w:p>
          <w:p w:rsidR="00EC4430" w:rsidRDefault="001C3FB1" w:rsidP="00135A0B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strike the mailing address of the person protected by the order from the public records of the court, if applicable</w:t>
            </w:r>
            <w:r>
              <w:t xml:space="preserve">; </w:t>
            </w:r>
            <w:r>
              <w:t xml:space="preserve">and </w:t>
            </w:r>
          </w:p>
          <w:p w:rsidR="00EC4430" w:rsidRDefault="001C3FB1" w:rsidP="00135A0B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maintain a confidential record of the maili</w:t>
            </w:r>
            <w:r>
              <w:t xml:space="preserve">ng address for use only by </w:t>
            </w:r>
            <w:r>
              <w:t xml:space="preserve">the court or a law enforcement agency for purposes of entering the information into the statewide law enforcement information system maintained by the Department of Public Safety; and </w:t>
            </w:r>
          </w:p>
          <w:p w:rsidR="008423E4" w:rsidRDefault="001C3FB1" w:rsidP="00395906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prohibiting the release of the information </w:t>
            </w:r>
            <w:r>
              <w:t>to the defendant.</w:t>
            </w:r>
          </w:p>
          <w:p w:rsidR="00670C62" w:rsidRDefault="001C3FB1" w:rsidP="00135A0B">
            <w:pPr>
              <w:pStyle w:val="Header"/>
              <w:jc w:val="both"/>
            </w:pPr>
          </w:p>
          <w:p w:rsidR="0052777E" w:rsidRDefault="001C3FB1" w:rsidP="00135A0B">
            <w:pPr>
              <w:pStyle w:val="Header"/>
              <w:jc w:val="both"/>
            </w:pPr>
            <w:r>
              <w:t>S.B. 2390</w:t>
            </w:r>
            <w:r>
              <w:t xml:space="preserve"> amends the Government Code to </w:t>
            </w:r>
            <w:r>
              <w:t>remove the</w:t>
            </w:r>
            <w:r>
              <w:t xml:space="preserve"> conditions under which the following information is</w:t>
            </w:r>
            <w:r>
              <w:t xml:space="preserve"> </w:t>
            </w:r>
            <w:r>
              <w:t xml:space="preserve">excepted </w:t>
            </w:r>
            <w:r>
              <w:t>from inclusion within the bureau of identification</w:t>
            </w:r>
            <w:r>
              <w:t xml:space="preserve"> and</w:t>
            </w:r>
            <w:r>
              <w:t xml:space="preserve"> records</w:t>
            </w:r>
            <w:r>
              <w:t>:</w:t>
            </w:r>
            <w:r>
              <w:t xml:space="preserve"> </w:t>
            </w:r>
          </w:p>
          <w:p w:rsidR="0052777E" w:rsidRDefault="001C3FB1" w:rsidP="00135A0B">
            <w:pPr>
              <w:pStyle w:val="Header"/>
              <w:numPr>
                <w:ilvl w:val="0"/>
                <w:numId w:val="2"/>
              </w:numPr>
              <w:spacing w:before="120" w:after="120"/>
              <w:jc w:val="both"/>
            </w:pPr>
            <w:r>
              <w:t>the residence address and place of employment or business of</w:t>
            </w:r>
            <w:r>
              <w:t xml:space="preserve"> a person protected by a protective order</w:t>
            </w:r>
            <w:r>
              <w:t xml:space="preserve">; </w:t>
            </w:r>
            <w:r>
              <w:t xml:space="preserve">and </w:t>
            </w:r>
          </w:p>
          <w:p w:rsidR="00670C62" w:rsidRDefault="001C3FB1" w:rsidP="00395906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the child-care facility or school where a child protected by the order normally resides or which the child normally attends.  </w:t>
            </w:r>
          </w:p>
          <w:p w:rsidR="008423E4" w:rsidRPr="00835628" w:rsidRDefault="001C3FB1" w:rsidP="00135A0B">
            <w:pPr>
              <w:rPr>
                <w:b/>
              </w:rPr>
            </w:pPr>
          </w:p>
        </w:tc>
      </w:tr>
      <w:tr w:rsidR="00DD2393" w:rsidTr="00345119">
        <w:tc>
          <w:tcPr>
            <w:tcW w:w="9576" w:type="dxa"/>
          </w:tcPr>
          <w:p w:rsidR="008423E4" w:rsidRPr="00A8133F" w:rsidRDefault="001C3FB1" w:rsidP="00135A0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C3FB1" w:rsidP="00135A0B"/>
          <w:p w:rsidR="008423E4" w:rsidRPr="003624F2" w:rsidRDefault="001C3FB1" w:rsidP="00135A0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1C3FB1" w:rsidP="00135A0B">
            <w:pPr>
              <w:rPr>
                <w:b/>
              </w:rPr>
            </w:pPr>
          </w:p>
        </w:tc>
      </w:tr>
      <w:tr w:rsidR="00DD2393" w:rsidTr="00345119">
        <w:tc>
          <w:tcPr>
            <w:tcW w:w="9576" w:type="dxa"/>
          </w:tcPr>
          <w:p w:rsidR="0084283E" w:rsidRPr="0084283E" w:rsidRDefault="001C3FB1" w:rsidP="00135A0B">
            <w:pPr>
              <w:jc w:val="both"/>
            </w:pPr>
          </w:p>
        </w:tc>
      </w:tr>
    </w:tbl>
    <w:p w:rsidR="008423E4" w:rsidRPr="00BE0E75" w:rsidRDefault="001C3FB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C3FB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C3FB1">
      <w:r>
        <w:separator/>
      </w:r>
    </w:p>
  </w:endnote>
  <w:endnote w:type="continuationSeparator" w:id="0">
    <w:p w:rsidR="00000000" w:rsidRDefault="001C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3F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D2393" w:rsidTr="009C1E9A">
      <w:trPr>
        <w:cantSplit/>
      </w:trPr>
      <w:tc>
        <w:tcPr>
          <w:tcW w:w="0" w:type="pct"/>
        </w:tcPr>
        <w:p w:rsidR="00137D90" w:rsidRDefault="001C3F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C3F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C3FB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C3F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C3F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2393" w:rsidTr="009C1E9A">
      <w:trPr>
        <w:cantSplit/>
      </w:trPr>
      <w:tc>
        <w:tcPr>
          <w:tcW w:w="0" w:type="pct"/>
        </w:tcPr>
        <w:p w:rsidR="00EC379B" w:rsidRDefault="001C3FB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C3FB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30881</w:t>
          </w:r>
        </w:p>
      </w:tc>
      <w:tc>
        <w:tcPr>
          <w:tcW w:w="2453" w:type="pct"/>
        </w:tcPr>
        <w:p w:rsidR="00EC379B" w:rsidRDefault="001C3F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19.121.90</w:t>
          </w:r>
          <w:r>
            <w:fldChar w:fldCharType="end"/>
          </w:r>
        </w:p>
      </w:tc>
    </w:tr>
    <w:tr w:rsidR="00DD2393" w:rsidTr="009C1E9A">
      <w:trPr>
        <w:cantSplit/>
      </w:trPr>
      <w:tc>
        <w:tcPr>
          <w:tcW w:w="0" w:type="pct"/>
        </w:tcPr>
        <w:p w:rsidR="00EC379B" w:rsidRDefault="001C3F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C3FB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C3FB1" w:rsidP="006D504F">
          <w:pPr>
            <w:pStyle w:val="Footer"/>
            <w:rPr>
              <w:rStyle w:val="PageNumber"/>
            </w:rPr>
          </w:pPr>
        </w:p>
        <w:p w:rsidR="00EC379B" w:rsidRDefault="001C3FB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D239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C3FB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C3FB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C3FB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3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C3FB1">
      <w:r>
        <w:separator/>
      </w:r>
    </w:p>
  </w:footnote>
  <w:footnote w:type="continuationSeparator" w:id="0">
    <w:p w:rsidR="00000000" w:rsidRDefault="001C3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3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3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C3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325F7"/>
    <w:multiLevelType w:val="hybridMultilevel"/>
    <w:tmpl w:val="3B8A6924"/>
    <w:lvl w:ilvl="0" w:tplc="E5885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E00A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9CA7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92CB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646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4A7F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E60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4E0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666A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826C2"/>
    <w:multiLevelType w:val="hybridMultilevel"/>
    <w:tmpl w:val="22FC89F6"/>
    <w:lvl w:ilvl="0" w:tplc="B57E5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A869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EBC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3074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8C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3687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AEAB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ED1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DEFE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93"/>
    <w:rsid w:val="001C3FB1"/>
    <w:rsid w:val="00D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74CAA0-9C5A-40BC-91E5-E7BDE2695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A0B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0B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0B5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A0B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0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2050</Characters>
  <Application>Microsoft Office Word</Application>
  <DocSecurity>4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SB02390 (Committee Report (Unamended))</vt:lpstr>
    </vt:vector>
  </TitlesOfParts>
  <Company>State of Texas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30881</dc:subject>
  <dc:creator>State of Texas</dc:creator>
  <dc:description>SB 2390 by Powell-(H)Criminal Jurisprudence</dc:description>
  <cp:lastModifiedBy>Scotty Wimberley</cp:lastModifiedBy>
  <cp:revision>2</cp:revision>
  <cp:lastPrinted>2003-11-26T17:21:00Z</cp:lastPrinted>
  <dcterms:created xsi:type="dcterms:W3CDTF">2019-05-01T22:17:00Z</dcterms:created>
  <dcterms:modified xsi:type="dcterms:W3CDTF">2019-05-01T22:17:00Z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19.121.90</vt:lpwstr>
  </property>
</Properties>
</file>