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42E7A" w:rsidTr="00345119">
        <w:tc>
          <w:tcPr>
            <w:tcW w:w="9576" w:type="dxa"/>
            <w:noWrap/>
          </w:tcPr>
          <w:p w:rsidR="008423E4" w:rsidRPr="0022177D" w:rsidRDefault="00A5623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56232" w:rsidP="008423E4">
      <w:pPr>
        <w:jc w:val="center"/>
      </w:pPr>
    </w:p>
    <w:p w:rsidR="008423E4" w:rsidRPr="00B31F0E" w:rsidRDefault="00A56232" w:rsidP="008423E4"/>
    <w:p w:rsidR="008423E4" w:rsidRPr="00742794" w:rsidRDefault="00A5623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42E7A" w:rsidTr="00345119">
        <w:tc>
          <w:tcPr>
            <w:tcW w:w="9576" w:type="dxa"/>
          </w:tcPr>
          <w:p w:rsidR="008423E4" w:rsidRPr="00861995" w:rsidRDefault="00A56232" w:rsidP="00345119">
            <w:pPr>
              <w:jc w:val="right"/>
            </w:pPr>
            <w:r>
              <w:t>S.B. 2506</w:t>
            </w:r>
          </w:p>
        </w:tc>
      </w:tr>
      <w:tr w:rsidR="00D42E7A" w:rsidTr="00345119">
        <w:tc>
          <w:tcPr>
            <w:tcW w:w="9576" w:type="dxa"/>
          </w:tcPr>
          <w:p w:rsidR="008423E4" w:rsidRPr="00861995" w:rsidRDefault="00A56232" w:rsidP="00345119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D42E7A" w:rsidTr="00345119">
        <w:tc>
          <w:tcPr>
            <w:tcW w:w="9576" w:type="dxa"/>
          </w:tcPr>
          <w:p w:rsidR="008423E4" w:rsidRPr="00861995" w:rsidRDefault="00A56232" w:rsidP="00345119">
            <w:pPr>
              <w:jc w:val="right"/>
            </w:pPr>
            <w:r>
              <w:t>Land &amp; Resource Management</w:t>
            </w:r>
          </w:p>
        </w:tc>
      </w:tr>
      <w:tr w:rsidR="00D42E7A" w:rsidTr="00345119">
        <w:tc>
          <w:tcPr>
            <w:tcW w:w="9576" w:type="dxa"/>
          </w:tcPr>
          <w:p w:rsidR="008423E4" w:rsidRDefault="00A5623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56232" w:rsidP="008423E4">
      <w:pPr>
        <w:tabs>
          <w:tab w:val="right" w:pos="9360"/>
        </w:tabs>
      </w:pPr>
    </w:p>
    <w:p w:rsidR="008423E4" w:rsidRDefault="00A56232" w:rsidP="008423E4"/>
    <w:p w:rsidR="008423E4" w:rsidRDefault="00A5623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42E7A" w:rsidTr="00345119">
        <w:tc>
          <w:tcPr>
            <w:tcW w:w="9576" w:type="dxa"/>
          </w:tcPr>
          <w:p w:rsidR="008423E4" w:rsidRPr="00A8133F" w:rsidRDefault="00A56232" w:rsidP="00FE558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56232" w:rsidP="00FE5582"/>
          <w:p w:rsidR="008423E4" w:rsidRDefault="00A56232" w:rsidP="00FE55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</w:t>
            </w:r>
            <w:r>
              <w:t xml:space="preserve">that </w:t>
            </w:r>
            <w:r>
              <w:t xml:space="preserve">changes should be made to statutory provisions governing municipal utility districts regarding standard road powers </w:t>
            </w:r>
            <w:r>
              <w:t>and to</w:t>
            </w:r>
            <w:r>
              <w:t xml:space="preserve"> streamline the process for designation of a defined area by a district.</w:t>
            </w:r>
            <w:r>
              <w:t xml:space="preserve"> S.B. 2506 seeks to address these issues by setting out provis</w:t>
            </w:r>
            <w:r>
              <w:t xml:space="preserve">ions </w:t>
            </w:r>
            <w:r w:rsidRPr="00846BC9">
              <w:t>relating to the powers and authorities of municipal utility districts.</w:t>
            </w:r>
          </w:p>
          <w:p w:rsidR="008423E4" w:rsidRPr="00E26B13" w:rsidRDefault="00A56232" w:rsidP="00FE5582">
            <w:pPr>
              <w:rPr>
                <w:b/>
              </w:rPr>
            </w:pPr>
          </w:p>
        </w:tc>
      </w:tr>
      <w:tr w:rsidR="00D42E7A" w:rsidTr="00345119">
        <w:tc>
          <w:tcPr>
            <w:tcW w:w="9576" w:type="dxa"/>
          </w:tcPr>
          <w:p w:rsidR="0017725B" w:rsidRDefault="00A56232" w:rsidP="00FE55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56232" w:rsidP="00FE5582">
            <w:pPr>
              <w:rPr>
                <w:b/>
                <w:u w:val="single"/>
              </w:rPr>
            </w:pPr>
          </w:p>
          <w:p w:rsidR="003167FB" w:rsidRPr="003167FB" w:rsidRDefault="00A56232" w:rsidP="00FE5582">
            <w:pPr>
              <w:jc w:val="both"/>
            </w:pPr>
            <w:r>
              <w:t>It is the committee's opinion that this bill does not expressly create a criminal offense, increase the punishment for an existing criminal offense or ca</w:t>
            </w:r>
            <w:r>
              <w:t>tegory of offenses, or change the eligibility of a person for community supervision, parole, or mandatory supervision.</w:t>
            </w:r>
          </w:p>
          <w:p w:rsidR="0017725B" w:rsidRPr="0017725B" w:rsidRDefault="00A56232" w:rsidP="00FE5582">
            <w:pPr>
              <w:rPr>
                <w:b/>
                <w:u w:val="single"/>
              </w:rPr>
            </w:pPr>
          </w:p>
        </w:tc>
      </w:tr>
      <w:tr w:rsidR="00D42E7A" w:rsidTr="00345119">
        <w:tc>
          <w:tcPr>
            <w:tcW w:w="9576" w:type="dxa"/>
          </w:tcPr>
          <w:p w:rsidR="008423E4" w:rsidRPr="00A8133F" w:rsidRDefault="00A56232" w:rsidP="00FE558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56232" w:rsidP="00FE5582"/>
          <w:p w:rsidR="003167FB" w:rsidRDefault="00A56232" w:rsidP="00FE55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</w:t>
            </w:r>
            <w:r>
              <w:t>tate officer, department, agency, or institution.</w:t>
            </w:r>
          </w:p>
          <w:p w:rsidR="008423E4" w:rsidRPr="00E21FDC" w:rsidRDefault="00A56232" w:rsidP="00FE5582">
            <w:pPr>
              <w:rPr>
                <w:b/>
              </w:rPr>
            </w:pPr>
          </w:p>
        </w:tc>
      </w:tr>
      <w:tr w:rsidR="00D42E7A" w:rsidTr="00345119">
        <w:tc>
          <w:tcPr>
            <w:tcW w:w="9576" w:type="dxa"/>
          </w:tcPr>
          <w:p w:rsidR="008423E4" w:rsidRPr="00A8133F" w:rsidRDefault="00A56232" w:rsidP="00FE558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56232" w:rsidP="00FE5582"/>
          <w:p w:rsidR="00A438F0" w:rsidRDefault="00A56232" w:rsidP="00FE55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2506 amends the Water Code</w:t>
            </w:r>
            <w:r>
              <w:t xml:space="preserve">, with respect to a provision authorizing a municipal utility district </w:t>
            </w:r>
            <w:r w:rsidRPr="00EB39A5">
              <w:t>or petitioner seeking the creation of a district</w:t>
            </w:r>
            <w:r>
              <w:t xml:space="preserve"> to</w:t>
            </w:r>
            <w:r w:rsidRPr="00EB39A5">
              <w:t xml:space="preserve"> petition the Texas Commission on Environmental Quality to acquire the power under the authority of </w:t>
            </w:r>
            <w:r>
              <w:t>certain Texas C</w:t>
            </w:r>
            <w:r w:rsidRPr="00EB39A5">
              <w:t>onstitution</w:t>
            </w:r>
            <w:r>
              <w:t xml:space="preserve"> provisions</w:t>
            </w:r>
            <w:r w:rsidRPr="00EB39A5">
              <w:t xml:space="preserve"> to design, acquire, construct, finance, issue bonds for, and convey to th</w:t>
            </w:r>
            <w:r>
              <w:t>e</w:t>
            </w:r>
            <w:r w:rsidRPr="00EB39A5">
              <w:t xml:space="preserve"> state, a county, or a municipality for oper</w:t>
            </w:r>
            <w:r w:rsidRPr="00EB39A5">
              <w:t>ation and maintenance, a road or any</w:t>
            </w:r>
            <w:r>
              <w:t xml:space="preserve"> improvement in aid of the road, to include </w:t>
            </w:r>
            <w:r>
              <w:t>under such power the operation and maint</w:t>
            </w:r>
            <w:r>
              <w:t>enance of a road or improvement</w:t>
            </w:r>
            <w:r>
              <w:t>.</w:t>
            </w:r>
            <w:r>
              <w:t xml:space="preserve"> The bill repeals the provision that requires the road to meet the criteria for a thoroughfare, arterial</w:t>
            </w:r>
            <w:r>
              <w:t xml:space="preserve">, or collector road of a county in whose jurisdiction the proposed road project is located or </w:t>
            </w:r>
            <w:r>
              <w:t xml:space="preserve">of </w:t>
            </w:r>
            <w:r>
              <w:t xml:space="preserve">a municipality in whose corporate limits or extraterritorial jurisdiction the proposed road project is </w:t>
            </w:r>
            <w:r>
              <w:t>located</w:t>
            </w:r>
            <w:r>
              <w:t xml:space="preserve">. </w:t>
            </w:r>
          </w:p>
          <w:p w:rsidR="00A438F0" w:rsidRDefault="00A56232" w:rsidP="00FE55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F2E3F" w:rsidRDefault="00A56232" w:rsidP="00FE55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2506 </w:t>
            </w:r>
            <w:r>
              <w:t>decreases from 1,500 to 1,000</w:t>
            </w:r>
            <w:r>
              <w:t xml:space="preserve"> the m</w:t>
            </w:r>
            <w:r>
              <w:t>inimum</w:t>
            </w:r>
            <w:r>
              <w:t xml:space="preserve"> acre</w:t>
            </w:r>
            <w:r>
              <w:t>age</w:t>
            </w:r>
            <w:r>
              <w:t xml:space="preserve"> of a district </w:t>
            </w:r>
            <w:r>
              <w:t>establish</w:t>
            </w:r>
            <w:r>
              <w:t>ing that</w:t>
            </w:r>
            <w:r>
              <w:t xml:space="preserve"> a district </w:t>
            </w:r>
            <w:r>
              <w:t xml:space="preserve">may define areas or designate certain property of the district to pay for improvements, facilities, or services that primarily benefit that area or property and do not generally and directly </w:t>
            </w:r>
            <w:r>
              <w:t>benefit</w:t>
            </w:r>
            <w:r>
              <w:t xml:space="preserve"> the district as a whole.</w:t>
            </w:r>
            <w:r>
              <w:t xml:space="preserve"> The bill</w:t>
            </w:r>
            <w:r>
              <w:t xml:space="preserve"> </w:t>
            </w:r>
            <w:r>
              <w:t xml:space="preserve">replaces the requirement </w:t>
            </w:r>
            <w:r>
              <w:t>that</w:t>
            </w:r>
            <w:r>
              <w:t xml:space="preserve"> </w:t>
            </w:r>
            <w:r>
              <w:t>a district's</w:t>
            </w:r>
            <w:r>
              <w:t xml:space="preserve"> board of directors</w:t>
            </w:r>
            <w:r>
              <w:t xml:space="preserve"> </w:t>
            </w:r>
            <w:r>
              <w:t xml:space="preserve">adopt a proposed plan for improvements in </w:t>
            </w:r>
            <w:r>
              <w:t>a</w:t>
            </w:r>
            <w:r>
              <w:t xml:space="preserve"> defined area or to serve </w:t>
            </w:r>
            <w:r>
              <w:t>a</w:t>
            </w:r>
            <w:r>
              <w:t xml:space="preserve"> designated property in </w:t>
            </w:r>
            <w:r>
              <w:t xml:space="preserve">a certain </w:t>
            </w:r>
            <w:r>
              <w:t xml:space="preserve">manner with a requirement </w:t>
            </w:r>
            <w:r>
              <w:t>that</w:t>
            </w:r>
            <w:r>
              <w:t xml:space="preserve"> the board file an engine</w:t>
            </w:r>
            <w:r>
              <w:t>er's report for such improvements</w:t>
            </w:r>
            <w:r>
              <w:t xml:space="preserve"> or service</w:t>
            </w:r>
            <w:r>
              <w:t>.</w:t>
            </w:r>
            <w:r>
              <w:t xml:space="preserve"> The bill repeals </w:t>
            </w:r>
            <w:r>
              <w:t xml:space="preserve">provisions that require publication of notice of the adoption of </w:t>
            </w:r>
            <w:r w:rsidRPr="001F2E3F">
              <w:t>proposed plans for a defined area or designated property</w:t>
            </w:r>
            <w:r>
              <w:t>, that provide for a related hearing, and that authorize a</w:t>
            </w:r>
            <w:r w:rsidRPr="001F2E3F">
              <w:t xml:space="preserve"> board </w:t>
            </w:r>
            <w:r>
              <w:t>to</w:t>
            </w:r>
            <w:r w:rsidRPr="001F2E3F">
              <w:t xml:space="preserve"> appr</w:t>
            </w:r>
            <w:r w:rsidRPr="001F2E3F">
              <w:t>ove the proposed plans for the defined area or designated property or modify the proposed plans</w:t>
            </w:r>
            <w:r>
              <w:t xml:space="preserve"> a</w:t>
            </w:r>
            <w:r w:rsidRPr="001F2E3F">
              <w:t>fter the hearing is completed</w:t>
            </w:r>
            <w:r>
              <w:t>.</w:t>
            </w:r>
          </w:p>
          <w:p w:rsidR="00D40210" w:rsidRDefault="00A56232" w:rsidP="00FE55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07D1A" w:rsidRDefault="00A56232" w:rsidP="00FE55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2506</w:t>
            </w:r>
            <w:r>
              <w:t xml:space="preserve"> changes the condition under which a district</w:t>
            </w:r>
            <w:r w:rsidRPr="00886949">
              <w:t xml:space="preserve"> may apply separately, differently, equitably, and specifically its taxin</w:t>
            </w:r>
            <w:r w:rsidRPr="00886949">
              <w:t>g</w:t>
            </w:r>
            <w:r>
              <w:t xml:space="preserve"> power and lien authority to a</w:t>
            </w:r>
            <w:r w:rsidRPr="00886949">
              <w:t xml:space="preserve"> defined area or designated property to provide money to construct, administer, maintain, and operate improvements and facilities that primarily benefit the defi</w:t>
            </w:r>
            <w:r>
              <w:t>ned area or designated property</w:t>
            </w:r>
            <w:r>
              <w:t xml:space="preserve"> from on </w:t>
            </w:r>
            <w:r w:rsidRPr="00886949">
              <w:t xml:space="preserve">adoption of the plans as provided by </w:t>
            </w:r>
            <w:r>
              <w:t>certain provisions</w:t>
            </w:r>
            <w:r w:rsidRPr="00886949">
              <w:t xml:space="preserve"> and voter approval of the plans</w:t>
            </w:r>
            <w:r>
              <w:t xml:space="preserve"> to on adoption of the proposed plan as provided by provisions relating to </w:t>
            </w:r>
            <w:r w:rsidRPr="00886949">
              <w:t>services for certain defined areas and designated property</w:t>
            </w:r>
            <w:r>
              <w:t xml:space="preserve"> and voter approval of taxes and bon</w:t>
            </w:r>
            <w:r>
              <w:t>ds.</w:t>
            </w:r>
            <w:r>
              <w:t xml:space="preserve"> </w:t>
            </w:r>
          </w:p>
          <w:p w:rsidR="00C07D1A" w:rsidRDefault="00A56232" w:rsidP="00FE55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A00FE" w:rsidRDefault="00A56232" w:rsidP="00FE55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2506 </w:t>
            </w:r>
            <w:r>
              <w:t>replace</w:t>
            </w:r>
            <w:r>
              <w:t>s</w:t>
            </w:r>
            <w:r>
              <w:t xml:space="preserve"> a provision requiring adopted plans to </w:t>
            </w:r>
            <w:r w:rsidRPr="00197923">
              <w:t>be approved by the voters in the defined area or within the boundaries of the designated property</w:t>
            </w:r>
            <w:r>
              <w:t xml:space="preserve"> before the plans may become effective with a provision requiring bonds and taxes to be </w:t>
            </w:r>
            <w:r w:rsidRPr="00197923">
              <w:t>approve</w:t>
            </w:r>
            <w:r w:rsidRPr="00197923">
              <w:t xml:space="preserve">d </w:t>
            </w:r>
            <w:r>
              <w:t>as such before the bonds may be issued or the taxes may be levied for the defi</w:t>
            </w:r>
            <w:r>
              <w:t>ned area or designated property</w:t>
            </w:r>
            <w:r>
              <w:t xml:space="preserve"> </w:t>
            </w:r>
            <w:r>
              <w:t xml:space="preserve">and provides for the conducting of the election in certain manner </w:t>
            </w:r>
            <w:r>
              <w:t>for an election to authorize an operation and maintenance tax.</w:t>
            </w:r>
            <w:r>
              <w:t xml:space="preserve"> The bill repeal</w:t>
            </w:r>
            <w:r>
              <w:t xml:space="preserve">s provisions relating to ballots for an election under provisions relating to </w:t>
            </w:r>
            <w:r w:rsidRPr="00B05085">
              <w:t>services for certain defined areas and designated property</w:t>
            </w:r>
            <w:r>
              <w:t xml:space="preserve"> and provisions </w:t>
            </w:r>
            <w:r>
              <w:t xml:space="preserve">relating to the declaration of the results of an election </w:t>
            </w:r>
            <w:r>
              <w:t xml:space="preserve">and </w:t>
            </w:r>
            <w:r>
              <w:t xml:space="preserve">the issuance of an order establishing the </w:t>
            </w:r>
            <w:r>
              <w:t>defined area or designating property. The bill removes a provision that authorizes a district, a</w:t>
            </w:r>
            <w:r w:rsidRPr="00B84674">
              <w:t>fter the order is recorded,</w:t>
            </w:r>
            <w:r>
              <w:t xml:space="preserve"> to</w:t>
            </w:r>
            <w:r w:rsidRPr="00B84674">
              <w:t xml:space="preserve"> issue its bonds to provide the specific plant, works, and facilities included in the plans adopted for the </w:t>
            </w:r>
            <w:r>
              <w:t>defined area,</w:t>
            </w:r>
            <w:r w:rsidRPr="00B84674">
              <w:t xml:space="preserve"> or to se</w:t>
            </w:r>
            <w:r w:rsidRPr="00B84674">
              <w:t xml:space="preserve">rve the designated property and </w:t>
            </w:r>
            <w:r>
              <w:t>that requires the district to</w:t>
            </w:r>
            <w:r w:rsidRPr="00B84674">
              <w:t xml:space="preserve"> provide the plant, works, and facilities</w:t>
            </w:r>
            <w:r>
              <w:t xml:space="preserve">. The bill replaces that provision with an authorization for the district, after approval by the voters, to </w:t>
            </w:r>
            <w:r w:rsidRPr="00B84674">
              <w:t xml:space="preserve">issue its bonds and levy taxes to provide the </w:t>
            </w:r>
            <w:r w:rsidRPr="00B84674">
              <w:t>specific plant, works, and facilities included in the engineer's report for the defined area, or to serve the designated property</w:t>
            </w:r>
            <w:r>
              <w:t>. The bill revises</w:t>
            </w:r>
            <w:r>
              <w:t xml:space="preserve"> provisions relating to</w:t>
            </w:r>
            <w:r>
              <w:t xml:space="preserve"> </w:t>
            </w:r>
            <w:r>
              <w:t xml:space="preserve">the </w:t>
            </w:r>
            <w:r>
              <w:t>applicable notice to purchasers.</w:t>
            </w:r>
          </w:p>
          <w:p w:rsidR="00267E66" w:rsidRDefault="00A56232" w:rsidP="00FE55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167FB" w:rsidRDefault="00A56232" w:rsidP="00FE55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2506 repeals </w:t>
            </w:r>
            <w:r w:rsidRPr="008426AD">
              <w:t>the following provisions of t</w:t>
            </w:r>
            <w:r w:rsidRPr="008426AD">
              <w:t>he Water Code:</w:t>
            </w:r>
          </w:p>
          <w:p w:rsidR="003167FB" w:rsidRDefault="00A56232" w:rsidP="00FE558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54.234(b)</w:t>
            </w:r>
          </w:p>
          <w:p w:rsidR="003167FB" w:rsidRDefault="00A56232" w:rsidP="00FE558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54.803</w:t>
            </w:r>
          </w:p>
          <w:p w:rsidR="003167FB" w:rsidRDefault="00A56232" w:rsidP="00FE558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54.804(a)</w:t>
            </w:r>
          </w:p>
          <w:p w:rsidR="003167FB" w:rsidRDefault="00A56232" w:rsidP="00FE558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54.807</w:t>
            </w:r>
          </w:p>
          <w:p w:rsidR="003167FB" w:rsidRDefault="00A56232" w:rsidP="00FE558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Section </w:t>
            </w:r>
            <w:r w:rsidRPr="003167FB">
              <w:t>54.808</w:t>
            </w:r>
          </w:p>
          <w:p w:rsidR="008423E4" w:rsidRPr="00835628" w:rsidRDefault="00A56232" w:rsidP="00FE5582">
            <w:pPr>
              <w:rPr>
                <w:b/>
              </w:rPr>
            </w:pPr>
          </w:p>
        </w:tc>
      </w:tr>
      <w:tr w:rsidR="00D42E7A" w:rsidTr="00345119">
        <w:tc>
          <w:tcPr>
            <w:tcW w:w="9576" w:type="dxa"/>
          </w:tcPr>
          <w:p w:rsidR="008423E4" w:rsidRPr="00A8133F" w:rsidRDefault="00A56232" w:rsidP="00FE558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56232" w:rsidP="00FE5582"/>
          <w:p w:rsidR="008423E4" w:rsidRPr="003624F2" w:rsidRDefault="00A56232" w:rsidP="00FE55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A56232" w:rsidP="00FE5582">
            <w:pPr>
              <w:rPr>
                <w:b/>
              </w:rPr>
            </w:pPr>
          </w:p>
        </w:tc>
      </w:tr>
    </w:tbl>
    <w:p w:rsidR="008423E4" w:rsidRPr="00BE0E75" w:rsidRDefault="00A5623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5623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6232">
      <w:r>
        <w:separator/>
      </w:r>
    </w:p>
  </w:endnote>
  <w:endnote w:type="continuationSeparator" w:id="0">
    <w:p w:rsidR="00000000" w:rsidRDefault="00A5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6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42E7A" w:rsidTr="009C1E9A">
      <w:trPr>
        <w:cantSplit/>
      </w:trPr>
      <w:tc>
        <w:tcPr>
          <w:tcW w:w="0" w:type="pct"/>
        </w:tcPr>
        <w:p w:rsidR="00137D90" w:rsidRDefault="00A562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5623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5623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562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562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2E7A" w:rsidTr="009C1E9A">
      <w:trPr>
        <w:cantSplit/>
      </w:trPr>
      <w:tc>
        <w:tcPr>
          <w:tcW w:w="0" w:type="pct"/>
        </w:tcPr>
        <w:p w:rsidR="00EC379B" w:rsidRDefault="00A562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5623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33189</w:t>
          </w:r>
        </w:p>
      </w:tc>
      <w:tc>
        <w:tcPr>
          <w:tcW w:w="2453" w:type="pct"/>
        </w:tcPr>
        <w:p w:rsidR="00EC379B" w:rsidRDefault="00A562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19.129.514</w:t>
          </w:r>
          <w:r>
            <w:fldChar w:fldCharType="end"/>
          </w:r>
        </w:p>
      </w:tc>
    </w:tr>
    <w:tr w:rsidR="00D42E7A" w:rsidTr="009C1E9A">
      <w:trPr>
        <w:cantSplit/>
      </w:trPr>
      <w:tc>
        <w:tcPr>
          <w:tcW w:w="0" w:type="pct"/>
        </w:tcPr>
        <w:p w:rsidR="00EC379B" w:rsidRDefault="00A562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562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56232" w:rsidP="006D504F">
          <w:pPr>
            <w:pStyle w:val="Footer"/>
            <w:rPr>
              <w:rStyle w:val="PageNumber"/>
            </w:rPr>
          </w:pPr>
        </w:p>
        <w:p w:rsidR="00EC379B" w:rsidRDefault="00A562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2E7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5623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A5623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5623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6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6232">
      <w:r>
        <w:separator/>
      </w:r>
    </w:p>
  </w:footnote>
  <w:footnote w:type="continuationSeparator" w:id="0">
    <w:p w:rsidR="00000000" w:rsidRDefault="00A56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6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62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6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7466F"/>
    <w:multiLevelType w:val="hybridMultilevel"/>
    <w:tmpl w:val="8FFAF426"/>
    <w:lvl w:ilvl="0" w:tplc="73307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98B2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102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AE6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A5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CE2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243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8ED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ECDD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7A"/>
    <w:rsid w:val="00A56232"/>
    <w:rsid w:val="00D4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3B7372-CD0F-4CA3-AC43-DE02917F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167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67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67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6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6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4319</Characters>
  <Application>Microsoft Office Word</Application>
  <DocSecurity>4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SB02506 (Committee Report (Unamended))</vt:lpstr>
    </vt:vector>
  </TitlesOfParts>
  <Company>State of Texas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33189</dc:subject>
  <dc:creator>State of Texas</dc:creator>
  <dc:description>SB 2506 by Creighton-(H)Land &amp; Resource Management</dc:description>
  <cp:lastModifiedBy>Scotty Wimberley</cp:lastModifiedBy>
  <cp:revision>2</cp:revision>
  <cp:lastPrinted>2003-11-26T17:21:00Z</cp:lastPrinted>
  <dcterms:created xsi:type="dcterms:W3CDTF">2019-05-13T14:27:00Z</dcterms:created>
  <dcterms:modified xsi:type="dcterms:W3CDTF">2019-05-13T14:27:00Z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19.129.514</vt:lpwstr>
  </property>
</Properties>
</file>