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2425F" w:rsidTr="00345119">
        <w:tc>
          <w:tcPr>
            <w:tcW w:w="9576" w:type="dxa"/>
            <w:noWrap/>
          </w:tcPr>
          <w:p w:rsidR="008423E4" w:rsidRPr="0022177D" w:rsidRDefault="006F4A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4AEB" w:rsidP="008423E4">
      <w:pPr>
        <w:jc w:val="center"/>
      </w:pPr>
    </w:p>
    <w:p w:rsidR="008423E4" w:rsidRPr="00B31F0E" w:rsidRDefault="006F4AEB" w:rsidP="008423E4"/>
    <w:p w:rsidR="008423E4" w:rsidRPr="00742794" w:rsidRDefault="006F4A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425F" w:rsidTr="00345119">
        <w:tc>
          <w:tcPr>
            <w:tcW w:w="9576" w:type="dxa"/>
          </w:tcPr>
          <w:p w:rsidR="008423E4" w:rsidRPr="00861995" w:rsidRDefault="006F4AEB" w:rsidP="00345119">
            <w:pPr>
              <w:jc w:val="right"/>
            </w:pPr>
            <w:r>
              <w:t>S.B. 2531</w:t>
            </w:r>
          </w:p>
        </w:tc>
      </w:tr>
      <w:tr w:rsidR="0062425F" w:rsidTr="00345119">
        <w:tc>
          <w:tcPr>
            <w:tcW w:w="9576" w:type="dxa"/>
          </w:tcPr>
          <w:p w:rsidR="008423E4" w:rsidRPr="00861995" w:rsidRDefault="006F4AEB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62425F" w:rsidTr="00345119">
        <w:tc>
          <w:tcPr>
            <w:tcW w:w="9576" w:type="dxa"/>
          </w:tcPr>
          <w:p w:rsidR="008423E4" w:rsidRPr="00861995" w:rsidRDefault="006F4AEB" w:rsidP="00345119">
            <w:pPr>
              <w:jc w:val="right"/>
            </w:pPr>
            <w:r>
              <w:t>Ways &amp; Means</w:t>
            </w:r>
          </w:p>
        </w:tc>
      </w:tr>
      <w:tr w:rsidR="0062425F" w:rsidTr="00345119">
        <w:tc>
          <w:tcPr>
            <w:tcW w:w="9576" w:type="dxa"/>
          </w:tcPr>
          <w:p w:rsidR="008423E4" w:rsidRDefault="006F4A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4AEB" w:rsidP="008423E4">
      <w:pPr>
        <w:tabs>
          <w:tab w:val="right" w:pos="9360"/>
        </w:tabs>
      </w:pPr>
    </w:p>
    <w:p w:rsidR="008423E4" w:rsidRDefault="006F4AEB" w:rsidP="008423E4"/>
    <w:p w:rsidR="008423E4" w:rsidRDefault="006F4A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2425F" w:rsidTr="00345119">
        <w:tc>
          <w:tcPr>
            <w:tcW w:w="9576" w:type="dxa"/>
          </w:tcPr>
          <w:p w:rsidR="008423E4" w:rsidRPr="00A8133F" w:rsidRDefault="006F4AEB" w:rsidP="00DA6C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4AEB" w:rsidP="00DA6CAE"/>
          <w:p w:rsidR="008423E4" w:rsidRDefault="006F4AEB" w:rsidP="00DA6C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12CFC">
              <w:t xml:space="preserve">It has been suggested that there is a need to codify </w:t>
            </w:r>
            <w:r w:rsidRPr="00552942">
              <w:t xml:space="preserve">the use of an agreed order to </w:t>
            </w:r>
            <w:r>
              <w:t>dispose of a tax</w:t>
            </w:r>
            <w:r>
              <w:t xml:space="preserve">payer protest in order to </w:t>
            </w:r>
            <w:r w:rsidRPr="00552942">
              <w:t>help</w:t>
            </w:r>
            <w:r>
              <w:t xml:space="preserve"> </w:t>
            </w:r>
            <w:r w:rsidRPr="00552942">
              <w:t xml:space="preserve">move appraisal protests </w:t>
            </w:r>
            <w:r w:rsidRPr="00112CFC">
              <w:t xml:space="preserve">more quickly </w:t>
            </w:r>
            <w:r w:rsidRPr="00552942">
              <w:t>through the process. S.B</w:t>
            </w:r>
            <w:r w:rsidRPr="00552942">
              <w:t>.</w:t>
            </w:r>
            <w:r>
              <w:t> </w:t>
            </w:r>
            <w:r w:rsidRPr="00552942">
              <w:t xml:space="preserve">2531 seeks to </w:t>
            </w:r>
            <w:r>
              <w:t>achieve this goal by providing for the disposition of a tax</w:t>
            </w:r>
            <w:r>
              <w:t>payer</w:t>
            </w:r>
            <w:r>
              <w:t xml:space="preserve"> protest by</w:t>
            </w:r>
            <w:r w:rsidRPr="00552942">
              <w:t xml:space="preserve"> an agreed order </w:t>
            </w:r>
            <w:r>
              <w:t xml:space="preserve">between </w:t>
            </w:r>
            <w:r w:rsidRPr="002B07AA">
              <w:t>the chief appraiser and the property owner or the designated agent of the owner</w:t>
            </w:r>
            <w:r>
              <w:t>.</w:t>
            </w:r>
          </w:p>
          <w:p w:rsidR="008423E4" w:rsidRPr="00E26B13" w:rsidRDefault="006F4AEB" w:rsidP="00DA6CAE">
            <w:pPr>
              <w:rPr>
                <w:b/>
              </w:rPr>
            </w:pPr>
          </w:p>
        </w:tc>
      </w:tr>
      <w:tr w:rsidR="0062425F" w:rsidTr="00345119">
        <w:tc>
          <w:tcPr>
            <w:tcW w:w="9576" w:type="dxa"/>
          </w:tcPr>
          <w:p w:rsidR="0017725B" w:rsidRDefault="006F4AEB" w:rsidP="00DA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4AEB" w:rsidP="00DA6CAE">
            <w:pPr>
              <w:rPr>
                <w:b/>
                <w:u w:val="single"/>
              </w:rPr>
            </w:pPr>
          </w:p>
          <w:p w:rsidR="00396FBD" w:rsidRPr="00396FBD" w:rsidRDefault="006F4AEB" w:rsidP="00DA6C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6F4AEB" w:rsidP="00DA6CAE">
            <w:pPr>
              <w:rPr>
                <w:b/>
                <w:u w:val="single"/>
              </w:rPr>
            </w:pPr>
          </w:p>
        </w:tc>
      </w:tr>
      <w:tr w:rsidR="0062425F" w:rsidTr="00345119">
        <w:tc>
          <w:tcPr>
            <w:tcW w:w="9576" w:type="dxa"/>
          </w:tcPr>
          <w:p w:rsidR="008423E4" w:rsidRPr="00A8133F" w:rsidRDefault="006F4AEB" w:rsidP="00DA6C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4AEB" w:rsidP="00DA6CAE"/>
          <w:p w:rsidR="00396FBD" w:rsidRDefault="006F4AEB" w:rsidP="00DA6C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F4AEB" w:rsidP="00DA6CAE">
            <w:pPr>
              <w:rPr>
                <w:b/>
              </w:rPr>
            </w:pPr>
          </w:p>
        </w:tc>
      </w:tr>
      <w:tr w:rsidR="0062425F" w:rsidTr="00345119">
        <w:tc>
          <w:tcPr>
            <w:tcW w:w="9576" w:type="dxa"/>
          </w:tcPr>
          <w:p w:rsidR="008423E4" w:rsidRPr="00A8133F" w:rsidRDefault="006F4AEB" w:rsidP="00DA6C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4AEB" w:rsidP="00DA6CAE"/>
          <w:p w:rsidR="003B7728" w:rsidRDefault="006F4AEB" w:rsidP="00DA6C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2531</w:t>
            </w:r>
            <w:r>
              <w:t xml:space="preserve"> amends the </w:t>
            </w:r>
            <w:r w:rsidRPr="00847507">
              <w:t>Tax Code</w:t>
            </w:r>
            <w:r>
              <w:t xml:space="preserve"> to authorize the </w:t>
            </w:r>
            <w:r w:rsidRPr="00847507">
              <w:t>chief appraiser and the property owner or the designated agent of the owner</w:t>
            </w:r>
            <w:r>
              <w:t xml:space="preserve"> to </w:t>
            </w:r>
            <w:r w:rsidRPr="00847507">
              <w:t xml:space="preserve">file a joint motion with the appraisal review board </w:t>
            </w:r>
            <w:r>
              <w:t xml:space="preserve">(ARB) </w:t>
            </w:r>
            <w:r w:rsidRPr="00847507">
              <w:t xml:space="preserve">notifying the </w:t>
            </w:r>
            <w:r>
              <w:t>ARB</w:t>
            </w:r>
            <w:r w:rsidRPr="00847507">
              <w:t xml:space="preserve"> that the </w:t>
            </w:r>
            <w:r>
              <w:t>applicable parties</w:t>
            </w:r>
            <w:r w:rsidRPr="00847507">
              <w:t xml:space="preserve"> have agreed to a disposition of </w:t>
            </w:r>
            <w:r>
              <w:t>a t</w:t>
            </w:r>
            <w:r>
              <w:t xml:space="preserve">axpayer </w:t>
            </w:r>
            <w:r w:rsidRPr="00847507">
              <w:t xml:space="preserve">protest and requesting the </w:t>
            </w:r>
            <w:r>
              <w:t>ARB</w:t>
            </w:r>
            <w:r w:rsidRPr="00847507">
              <w:t xml:space="preserve"> to issue an agreed order</w:t>
            </w:r>
            <w:r>
              <w:t xml:space="preserve">. The </w:t>
            </w:r>
            <w:r>
              <w:t xml:space="preserve">joint motion </w:t>
            </w:r>
            <w:r>
              <w:t xml:space="preserve">must </w:t>
            </w:r>
            <w:r>
              <w:t>contain the terms of the disposition of the protest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>,</w:t>
            </w:r>
            <w:r>
              <w:t xml:space="preserve"> </w:t>
            </w:r>
            <w:r>
              <w:t>with regard to the agreed order:</w:t>
            </w:r>
          </w:p>
          <w:p w:rsidR="00E0390C" w:rsidRDefault="006F4AEB" w:rsidP="00DA6C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requires the chairman of the </w:t>
            </w:r>
            <w:r>
              <w:t>ARB</w:t>
            </w:r>
            <w:r>
              <w:t xml:space="preserve"> to </w:t>
            </w:r>
            <w:r w:rsidRPr="00E2270B">
              <w:t>issue the order not later than the fi</w:t>
            </w:r>
            <w:r w:rsidRPr="00E2270B">
              <w:t xml:space="preserve">fth day after the date on which the joint motion is filed with the </w:t>
            </w:r>
            <w:r>
              <w:t>ARB</w:t>
            </w:r>
            <w:r>
              <w:t>;</w:t>
            </w:r>
          </w:p>
          <w:p w:rsidR="00E0390C" w:rsidRDefault="006F4AEB" w:rsidP="00DA6C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if the </w:t>
            </w:r>
            <w:r w:rsidRPr="00A42807">
              <w:t xml:space="preserve">chairman is unable to issue the agreed order within </w:t>
            </w:r>
            <w:r>
              <w:t>that</w:t>
            </w:r>
            <w:r w:rsidRPr="00A42807">
              <w:t xml:space="preserve"> period,</w:t>
            </w:r>
            <w:r>
              <w:t xml:space="preserve"> </w:t>
            </w:r>
            <w:r w:rsidRPr="008E5FB4">
              <w:t>requires the ARB</w:t>
            </w:r>
            <w:r>
              <w:t xml:space="preserve"> </w:t>
            </w:r>
            <w:r>
              <w:t xml:space="preserve">to </w:t>
            </w:r>
            <w:r w:rsidRPr="00A42807">
              <w:t xml:space="preserve">issue the agreed order not later than the 30th day after the date on which the joint motion </w:t>
            </w:r>
            <w:r w:rsidRPr="00A42807">
              <w:t xml:space="preserve">is filed with the </w:t>
            </w:r>
            <w:r>
              <w:t>ARB</w:t>
            </w:r>
            <w:r>
              <w:t>; and</w:t>
            </w:r>
          </w:p>
          <w:p w:rsidR="008423E4" w:rsidRDefault="006F4AEB" w:rsidP="00DA6CA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authorizes the c</w:t>
            </w:r>
            <w:r w:rsidRPr="00A42807">
              <w:t xml:space="preserve">hief appraiser and the property owner or the designated agent </w:t>
            </w:r>
            <w:r>
              <w:t xml:space="preserve">to </w:t>
            </w:r>
            <w:r w:rsidRPr="00A42807">
              <w:t xml:space="preserve">provide in the joint motion that the agreed order is appealable in the same manner as any other order issued by the </w:t>
            </w:r>
            <w:r>
              <w:t>ARB</w:t>
            </w:r>
            <w:r>
              <w:t xml:space="preserve">.  </w:t>
            </w:r>
          </w:p>
          <w:p w:rsidR="008423E4" w:rsidRPr="00835628" w:rsidRDefault="006F4AEB" w:rsidP="00DA6CAE">
            <w:pPr>
              <w:rPr>
                <w:b/>
              </w:rPr>
            </w:pPr>
          </w:p>
        </w:tc>
      </w:tr>
      <w:tr w:rsidR="0062425F" w:rsidTr="00345119">
        <w:tc>
          <w:tcPr>
            <w:tcW w:w="9576" w:type="dxa"/>
          </w:tcPr>
          <w:p w:rsidR="008423E4" w:rsidRPr="00A8133F" w:rsidRDefault="006F4AEB" w:rsidP="00DA6C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4AEB" w:rsidP="00DA6CAE"/>
          <w:p w:rsidR="008423E4" w:rsidRPr="003624F2" w:rsidRDefault="006F4AEB" w:rsidP="00DA6C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6FBD">
              <w:t>January 1, 2020.</w:t>
            </w:r>
          </w:p>
          <w:p w:rsidR="008423E4" w:rsidRPr="00233FDB" w:rsidRDefault="006F4AEB" w:rsidP="00DA6CAE">
            <w:pPr>
              <w:rPr>
                <w:b/>
              </w:rPr>
            </w:pPr>
          </w:p>
        </w:tc>
      </w:tr>
    </w:tbl>
    <w:p w:rsidR="008423E4" w:rsidRPr="00BE0E75" w:rsidRDefault="006F4A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4A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AEB">
      <w:r>
        <w:separator/>
      </w:r>
    </w:p>
  </w:endnote>
  <w:endnote w:type="continuationSeparator" w:id="0">
    <w:p w:rsidR="00000000" w:rsidRDefault="006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425F" w:rsidTr="009C1E9A">
      <w:trPr>
        <w:cantSplit/>
      </w:trPr>
      <w:tc>
        <w:tcPr>
          <w:tcW w:w="0" w:type="pct"/>
        </w:tcPr>
        <w:p w:rsidR="00137D90" w:rsidRDefault="006F4A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4A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4A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4A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4A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25F" w:rsidTr="009C1E9A">
      <w:trPr>
        <w:cantSplit/>
      </w:trPr>
      <w:tc>
        <w:tcPr>
          <w:tcW w:w="0" w:type="pct"/>
        </w:tcPr>
        <w:p w:rsidR="00EC379B" w:rsidRDefault="006F4A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4A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33567</w:t>
          </w:r>
        </w:p>
      </w:tc>
      <w:tc>
        <w:tcPr>
          <w:tcW w:w="2453" w:type="pct"/>
        </w:tcPr>
        <w:p w:rsidR="00EC379B" w:rsidRDefault="006F4A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19.133.181</w:t>
          </w:r>
          <w:r>
            <w:fldChar w:fldCharType="end"/>
          </w:r>
        </w:p>
      </w:tc>
    </w:tr>
    <w:tr w:rsidR="0062425F" w:rsidTr="009C1E9A">
      <w:trPr>
        <w:cantSplit/>
      </w:trPr>
      <w:tc>
        <w:tcPr>
          <w:tcW w:w="0" w:type="pct"/>
        </w:tcPr>
        <w:p w:rsidR="00EC379B" w:rsidRDefault="006F4A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4A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4AEB" w:rsidP="006D504F">
          <w:pPr>
            <w:pStyle w:val="Footer"/>
            <w:rPr>
              <w:rStyle w:val="PageNumber"/>
            </w:rPr>
          </w:pPr>
        </w:p>
        <w:p w:rsidR="00EC379B" w:rsidRDefault="006F4A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2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4A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4A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4A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AEB">
      <w:r>
        <w:separator/>
      </w:r>
    </w:p>
  </w:footnote>
  <w:footnote w:type="continuationSeparator" w:id="0">
    <w:p w:rsidR="00000000" w:rsidRDefault="006F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4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83E"/>
    <w:multiLevelType w:val="hybridMultilevel"/>
    <w:tmpl w:val="CE8210FC"/>
    <w:lvl w:ilvl="0" w:tplc="0D40A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9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CA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2F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AE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8D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4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88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27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F"/>
    <w:rsid w:val="0062425F"/>
    <w:rsid w:val="006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F4671-37FB-4909-B078-F057625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28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8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1674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SB02531 (Committee Report (Unamended))</vt:lpstr>
    </vt:vector>
  </TitlesOfParts>
  <Company>State of Texas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33567</dc:subject>
  <dc:creator>State of Texas</dc:creator>
  <dc:description>SB 2531 by Creighton-(H)Ways &amp; Means</dc:description>
  <cp:lastModifiedBy>Laura Ramsay</cp:lastModifiedBy>
  <cp:revision>2</cp:revision>
  <cp:lastPrinted>2003-11-26T17:21:00Z</cp:lastPrinted>
  <dcterms:created xsi:type="dcterms:W3CDTF">2019-05-15T23:51:00Z</dcterms:created>
  <dcterms:modified xsi:type="dcterms:W3CDTF">2019-05-15T23:51:00Z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19.133.181</vt:lpwstr>
  </property>
</Properties>
</file>