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74BE5" w:rsidTr="00345119">
        <w:tc>
          <w:tcPr>
            <w:tcW w:w="9576" w:type="dxa"/>
            <w:noWrap/>
          </w:tcPr>
          <w:p w:rsidR="008423E4" w:rsidRPr="0022177D" w:rsidRDefault="001D6438" w:rsidP="00345119">
            <w:pPr>
              <w:pStyle w:val="Heading1"/>
            </w:pPr>
            <w:bookmarkStart w:id="0" w:name="_GoBack"/>
            <w:bookmarkEnd w:id="0"/>
            <w:r w:rsidRPr="00631897">
              <w:t>BILL ANALYSIS</w:t>
            </w:r>
          </w:p>
        </w:tc>
      </w:tr>
    </w:tbl>
    <w:p w:rsidR="008423E4" w:rsidRPr="0022177D" w:rsidRDefault="001D6438" w:rsidP="008423E4">
      <w:pPr>
        <w:jc w:val="center"/>
      </w:pPr>
    </w:p>
    <w:p w:rsidR="008423E4" w:rsidRPr="00B31F0E" w:rsidRDefault="001D6438" w:rsidP="008423E4"/>
    <w:p w:rsidR="008423E4" w:rsidRPr="00742794" w:rsidRDefault="001D6438" w:rsidP="008423E4">
      <w:pPr>
        <w:tabs>
          <w:tab w:val="right" w:pos="9360"/>
        </w:tabs>
      </w:pPr>
    </w:p>
    <w:tbl>
      <w:tblPr>
        <w:tblW w:w="0" w:type="auto"/>
        <w:tblLayout w:type="fixed"/>
        <w:tblLook w:val="01E0" w:firstRow="1" w:lastRow="1" w:firstColumn="1" w:lastColumn="1" w:noHBand="0" w:noVBand="0"/>
      </w:tblPr>
      <w:tblGrid>
        <w:gridCol w:w="9576"/>
      </w:tblGrid>
      <w:tr w:rsidR="00374BE5" w:rsidTr="00345119">
        <w:tc>
          <w:tcPr>
            <w:tcW w:w="9576" w:type="dxa"/>
          </w:tcPr>
          <w:p w:rsidR="008423E4" w:rsidRPr="00861995" w:rsidRDefault="001D6438" w:rsidP="00345119">
            <w:pPr>
              <w:jc w:val="right"/>
            </w:pPr>
            <w:r>
              <w:t>C.S.S.B. 2551</w:t>
            </w:r>
          </w:p>
        </w:tc>
      </w:tr>
      <w:tr w:rsidR="00374BE5" w:rsidTr="00345119">
        <w:tc>
          <w:tcPr>
            <w:tcW w:w="9576" w:type="dxa"/>
          </w:tcPr>
          <w:p w:rsidR="008423E4" w:rsidRPr="00861995" w:rsidRDefault="001D6438" w:rsidP="009D0255">
            <w:pPr>
              <w:jc w:val="right"/>
            </w:pPr>
            <w:r>
              <w:t xml:space="preserve">By: </w:t>
            </w:r>
            <w:r>
              <w:t>Hinojosa</w:t>
            </w:r>
          </w:p>
        </w:tc>
      </w:tr>
      <w:tr w:rsidR="00374BE5" w:rsidTr="00345119">
        <w:tc>
          <w:tcPr>
            <w:tcW w:w="9576" w:type="dxa"/>
          </w:tcPr>
          <w:p w:rsidR="008423E4" w:rsidRPr="00861995" w:rsidRDefault="001D6438" w:rsidP="00345119">
            <w:pPr>
              <w:jc w:val="right"/>
            </w:pPr>
            <w:r>
              <w:t>State Affairs</w:t>
            </w:r>
          </w:p>
        </w:tc>
      </w:tr>
      <w:tr w:rsidR="00374BE5" w:rsidTr="00345119">
        <w:tc>
          <w:tcPr>
            <w:tcW w:w="9576" w:type="dxa"/>
          </w:tcPr>
          <w:p w:rsidR="008423E4" w:rsidRDefault="001D6438" w:rsidP="00345119">
            <w:pPr>
              <w:jc w:val="right"/>
            </w:pPr>
            <w:r>
              <w:t>Committee Report (Substituted)</w:t>
            </w:r>
          </w:p>
        </w:tc>
      </w:tr>
    </w:tbl>
    <w:p w:rsidR="008423E4" w:rsidRDefault="001D6438" w:rsidP="008423E4">
      <w:pPr>
        <w:tabs>
          <w:tab w:val="right" w:pos="9360"/>
        </w:tabs>
      </w:pPr>
    </w:p>
    <w:p w:rsidR="008423E4" w:rsidRDefault="001D6438" w:rsidP="008423E4"/>
    <w:p w:rsidR="008423E4" w:rsidRDefault="001D6438" w:rsidP="008423E4"/>
    <w:tbl>
      <w:tblPr>
        <w:tblW w:w="0" w:type="auto"/>
        <w:tblCellMar>
          <w:left w:w="115" w:type="dxa"/>
          <w:right w:w="115" w:type="dxa"/>
        </w:tblCellMar>
        <w:tblLook w:val="01E0" w:firstRow="1" w:lastRow="1" w:firstColumn="1" w:lastColumn="1" w:noHBand="0" w:noVBand="0"/>
      </w:tblPr>
      <w:tblGrid>
        <w:gridCol w:w="9360"/>
      </w:tblGrid>
      <w:tr w:rsidR="00374BE5" w:rsidTr="005D7FEE">
        <w:tc>
          <w:tcPr>
            <w:tcW w:w="9360" w:type="dxa"/>
          </w:tcPr>
          <w:p w:rsidR="008423E4" w:rsidRPr="00A8133F" w:rsidRDefault="001D6438" w:rsidP="004C504C">
            <w:pPr>
              <w:rPr>
                <w:b/>
              </w:rPr>
            </w:pPr>
            <w:r w:rsidRPr="009C1E9A">
              <w:rPr>
                <w:b/>
                <w:u w:val="single"/>
              </w:rPr>
              <w:t>BACKGROUND AND PURPOSE</w:t>
            </w:r>
            <w:r>
              <w:rPr>
                <w:b/>
              </w:rPr>
              <w:t xml:space="preserve"> </w:t>
            </w:r>
          </w:p>
          <w:p w:rsidR="008423E4" w:rsidRDefault="001D6438" w:rsidP="004C504C"/>
          <w:p w:rsidR="008423E4" w:rsidRDefault="001D6438" w:rsidP="004C504C">
            <w:pPr>
              <w:pStyle w:val="Header"/>
              <w:jc w:val="both"/>
            </w:pPr>
            <w:r>
              <w:t>There have been calls to update state law governing the liability for, payment of, and death benefits due with regard to certain workers' compensation claims, particularly with regard to benefits and other compensation due to a claim arising from disease o</w:t>
            </w:r>
            <w:r>
              <w:t xml:space="preserve">r illness suffered by a firefighter or emergency medical technician, to bring greater clarity and provide for a better workers' compensation process for all involved parties. C.S.S.B. 2551 seeks </w:t>
            </w:r>
            <w:r>
              <w:t>to make those updates.</w:t>
            </w:r>
          </w:p>
          <w:p w:rsidR="00B22655" w:rsidRPr="00E26B13" w:rsidRDefault="001D6438" w:rsidP="004C504C">
            <w:pPr>
              <w:pStyle w:val="Header"/>
              <w:jc w:val="both"/>
              <w:rPr>
                <w:b/>
              </w:rPr>
            </w:pPr>
          </w:p>
        </w:tc>
      </w:tr>
      <w:tr w:rsidR="00374BE5" w:rsidTr="005D7FEE">
        <w:tc>
          <w:tcPr>
            <w:tcW w:w="9360" w:type="dxa"/>
          </w:tcPr>
          <w:p w:rsidR="0017725B" w:rsidRDefault="001D6438" w:rsidP="004C504C">
            <w:pPr>
              <w:rPr>
                <w:b/>
                <w:u w:val="single"/>
              </w:rPr>
            </w:pPr>
            <w:r>
              <w:rPr>
                <w:b/>
                <w:u w:val="single"/>
              </w:rPr>
              <w:t>CRIMINAL JUSTICE IMPACT</w:t>
            </w:r>
          </w:p>
          <w:p w:rsidR="0017725B" w:rsidRDefault="001D6438" w:rsidP="004C504C">
            <w:pPr>
              <w:rPr>
                <w:b/>
                <w:u w:val="single"/>
              </w:rPr>
            </w:pPr>
          </w:p>
          <w:p w:rsidR="00102B8B" w:rsidRPr="00102B8B" w:rsidRDefault="001D6438" w:rsidP="004C504C">
            <w:pPr>
              <w:jc w:val="both"/>
            </w:pPr>
            <w:r>
              <w:t>It is the c</w:t>
            </w:r>
            <w:r>
              <w:t>ommittee's opinion that this bill does not expressly create a criminal offense, increase the punishment for an existing criminal offense or category of offenses, or change the eligibility of a person for community supervision, parole, or mandatory supervis</w:t>
            </w:r>
            <w:r>
              <w:t>ion.</w:t>
            </w:r>
          </w:p>
          <w:p w:rsidR="0017725B" w:rsidRPr="0017725B" w:rsidRDefault="001D6438" w:rsidP="004C504C">
            <w:pPr>
              <w:rPr>
                <w:b/>
                <w:u w:val="single"/>
              </w:rPr>
            </w:pPr>
          </w:p>
        </w:tc>
      </w:tr>
      <w:tr w:rsidR="00374BE5" w:rsidTr="005D7FEE">
        <w:tc>
          <w:tcPr>
            <w:tcW w:w="9360" w:type="dxa"/>
          </w:tcPr>
          <w:p w:rsidR="008423E4" w:rsidRPr="00A8133F" w:rsidRDefault="001D6438" w:rsidP="004C504C">
            <w:pPr>
              <w:rPr>
                <w:b/>
              </w:rPr>
            </w:pPr>
            <w:r w:rsidRPr="009C1E9A">
              <w:rPr>
                <w:b/>
                <w:u w:val="single"/>
              </w:rPr>
              <w:t>RULEMAKING AUTHORITY</w:t>
            </w:r>
            <w:r>
              <w:rPr>
                <w:b/>
              </w:rPr>
              <w:t xml:space="preserve"> </w:t>
            </w:r>
          </w:p>
          <w:p w:rsidR="008423E4" w:rsidRDefault="001D6438" w:rsidP="004C504C"/>
          <w:p w:rsidR="00102B8B" w:rsidRDefault="001D6438" w:rsidP="004C504C">
            <w:pPr>
              <w:pStyle w:val="Header"/>
              <w:tabs>
                <w:tab w:val="clear" w:pos="4320"/>
                <w:tab w:val="clear" w:pos="8640"/>
              </w:tabs>
              <w:jc w:val="both"/>
            </w:pPr>
            <w:r>
              <w:t>It is the committee's opinion that rulemaking authority is expressly granted to the commissioner of workers' compensation in SECTION</w:t>
            </w:r>
            <w:r>
              <w:t>S</w:t>
            </w:r>
            <w:r>
              <w:t xml:space="preserve"> 2</w:t>
            </w:r>
            <w:r>
              <w:t xml:space="preserve"> and 8</w:t>
            </w:r>
            <w:r>
              <w:t xml:space="preserve"> of this bill.</w:t>
            </w:r>
          </w:p>
          <w:p w:rsidR="008423E4" w:rsidRPr="00E21FDC" w:rsidRDefault="001D6438" w:rsidP="004C504C">
            <w:pPr>
              <w:rPr>
                <w:b/>
              </w:rPr>
            </w:pPr>
          </w:p>
        </w:tc>
      </w:tr>
      <w:tr w:rsidR="00374BE5" w:rsidTr="005D7FEE">
        <w:tc>
          <w:tcPr>
            <w:tcW w:w="9360" w:type="dxa"/>
          </w:tcPr>
          <w:p w:rsidR="008423E4" w:rsidRPr="00A8133F" w:rsidRDefault="001D6438" w:rsidP="004C504C">
            <w:pPr>
              <w:rPr>
                <w:b/>
              </w:rPr>
            </w:pPr>
            <w:r w:rsidRPr="009C1E9A">
              <w:rPr>
                <w:b/>
                <w:u w:val="single"/>
              </w:rPr>
              <w:t>ANALYSIS</w:t>
            </w:r>
            <w:r>
              <w:rPr>
                <w:b/>
              </w:rPr>
              <w:t xml:space="preserve"> </w:t>
            </w:r>
          </w:p>
          <w:p w:rsidR="008423E4" w:rsidRDefault="001D6438" w:rsidP="004C504C"/>
          <w:p w:rsidR="0094014C" w:rsidRDefault="001D6438" w:rsidP="004C504C">
            <w:pPr>
              <w:pStyle w:val="Header"/>
              <w:jc w:val="both"/>
            </w:pPr>
            <w:r>
              <w:t>C.S.</w:t>
            </w:r>
            <w:r>
              <w:t xml:space="preserve">S.B. 2551 amends the Government Code to </w:t>
            </w:r>
            <w:r>
              <w:t xml:space="preserve">change </w:t>
            </w:r>
            <w:r>
              <w:t>the types of cancer</w:t>
            </w:r>
            <w:r>
              <w:t xml:space="preserve"> </w:t>
            </w:r>
            <w:r>
              <w:t xml:space="preserve">resulting in death or total or partial disability </w:t>
            </w:r>
            <w:r>
              <w:t>of a</w:t>
            </w:r>
            <w:r>
              <w:t xml:space="preserve"> firefighter or emergency medical technician</w:t>
            </w:r>
            <w:r>
              <w:t xml:space="preserve"> for which the firefighter or technician</w:t>
            </w:r>
            <w:r>
              <w:t xml:space="preserve"> may qualify for </w:t>
            </w:r>
            <w:r>
              <w:t>certain</w:t>
            </w:r>
            <w:r>
              <w:t xml:space="preserve"> </w:t>
            </w:r>
            <w:r>
              <w:t>benefit payments or compensation from the state</w:t>
            </w:r>
            <w:r>
              <w:t xml:space="preserve"> </w:t>
            </w:r>
            <w:r>
              <w:t xml:space="preserve">from </w:t>
            </w:r>
            <w:r w:rsidRPr="00272075">
              <w:t>a type of cancer tha</w:t>
            </w:r>
            <w:r w:rsidRPr="00272075">
              <w:t>t may be caused by exposure to heat, smoke, radiation, or a known or suspected carcinogen as determined by the International Agency for Research on Cancer</w:t>
            </w:r>
            <w:r>
              <w:t xml:space="preserve"> to </w:t>
            </w:r>
            <w:r>
              <w:t>the following:</w:t>
            </w:r>
          </w:p>
          <w:p w:rsidR="0094014C" w:rsidRDefault="001D6438" w:rsidP="004C504C">
            <w:pPr>
              <w:pStyle w:val="Header"/>
              <w:numPr>
                <w:ilvl w:val="0"/>
                <w:numId w:val="1"/>
              </w:numPr>
              <w:spacing w:before="120" w:after="120"/>
              <w:jc w:val="both"/>
            </w:pPr>
            <w:r>
              <w:t>cancer that originates at the stomach, colon, rectum, skin, prostate, testis, or br</w:t>
            </w:r>
            <w:r>
              <w:t xml:space="preserve">ain; </w:t>
            </w:r>
          </w:p>
          <w:p w:rsidR="0094014C" w:rsidRDefault="001D6438" w:rsidP="004C504C">
            <w:pPr>
              <w:pStyle w:val="Header"/>
              <w:numPr>
                <w:ilvl w:val="0"/>
                <w:numId w:val="1"/>
              </w:numPr>
              <w:spacing w:before="120" w:after="120"/>
              <w:jc w:val="both"/>
            </w:pPr>
            <w:r>
              <w:t xml:space="preserve">non-Hodgkin's lymphoma; </w:t>
            </w:r>
          </w:p>
          <w:p w:rsidR="0094014C" w:rsidRDefault="001D6438" w:rsidP="004C504C">
            <w:pPr>
              <w:pStyle w:val="Header"/>
              <w:numPr>
                <w:ilvl w:val="0"/>
                <w:numId w:val="1"/>
              </w:numPr>
              <w:spacing w:before="120" w:after="120"/>
              <w:jc w:val="both"/>
            </w:pPr>
            <w:r>
              <w:t xml:space="preserve">multiple myeloma; </w:t>
            </w:r>
          </w:p>
          <w:p w:rsidR="0094014C" w:rsidRDefault="001D6438" w:rsidP="004C504C">
            <w:pPr>
              <w:pStyle w:val="Header"/>
              <w:numPr>
                <w:ilvl w:val="0"/>
                <w:numId w:val="1"/>
              </w:numPr>
              <w:spacing w:before="120" w:after="120"/>
              <w:jc w:val="both"/>
            </w:pPr>
            <w:r>
              <w:t xml:space="preserve">malignant melanoma; and </w:t>
            </w:r>
          </w:p>
          <w:p w:rsidR="008423E4" w:rsidRDefault="001D6438" w:rsidP="00EA6274">
            <w:pPr>
              <w:pStyle w:val="Header"/>
              <w:numPr>
                <w:ilvl w:val="0"/>
                <w:numId w:val="1"/>
              </w:numPr>
              <w:jc w:val="both"/>
            </w:pPr>
            <w:r>
              <w:t>renal cell carcinoma.</w:t>
            </w:r>
          </w:p>
          <w:p w:rsidR="00272075" w:rsidRDefault="001D6438" w:rsidP="00EA6274">
            <w:pPr>
              <w:pStyle w:val="Header"/>
              <w:jc w:val="both"/>
            </w:pPr>
          </w:p>
          <w:p w:rsidR="006E6FCA" w:rsidRDefault="001D6438" w:rsidP="00EA6274">
            <w:pPr>
              <w:pStyle w:val="Header"/>
              <w:jc w:val="both"/>
            </w:pPr>
            <w:r>
              <w:t>C.S.</w:t>
            </w:r>
            <w:r>
              <w:t xml:space="preserve">S.B. 2551 amends the Labor Code to establish that an </w:t>
            </w:r>
            <w:r w:rsidRPr="00272075">
              <w:t xml:space="preserve">insurance carrier is not required to </w:t>
            </w:r>
            <w:r>
              <w:t xml:space="preserve">comply with certain provisions of the Texas Workers' Compensation Act providing for the prompt </w:t>
            </w:r>
            <w:r>
              <w:t>initiat</w:t>
            </w:r>
            <w:r>
              <w:t>ion</w:t>
            </w:r>
            <w:r>
              <w:t xml:space="preserve"> </w:t>
            </w:r>
            <w:r>
              <w:t xml:space="preserve">of </w:t>
            </w:r>
            <w:r>
              <w:t xml:space="preserve">compensation under </w:t>
            </w:r>
            <w:r>
              <w:t>that</w:t>
            </w:r>
            <w:r>
              <w:t xml:space="preserve"> </w:t>
            </w:r>
            <w:r>
              <w:t>a</w:t>
            </w:r>
            <w:r>
              <w:t xml:space="preserve">ct </w:t>
            </w:r>
            <w:r w:rsidRPr="00272075">
              <w:t xml:space="preserve">if the </w:t>
            </w:r>
            <w:r>
              <w:t xml:space="preserve">applicable </w:t>
            </w:r>
            <w:r w:rsidRPr="00272075">
              <w:t xml:space="preserve">claim </w:t>
            </w:r>
            <w:r>
              <w:t xml:space="preserve">results from </w:t>
            </w:r>
            <w:r>
              <w:t>the</w:t>
            </w:r>
            <w:r>
              <w:t xml:space="preserve"> disability or death of a firefighter or emergency medical technician </w:t>
            </w:r>
            <w:r>
              <w:t>from a di</w:t>
            </w:r>
            <w:r>
              <w:t xml:space="preserve">sease or illness </w:t>
            </w:r>
            <w:r>
              <w:t xml:space="preserve">for which a </w:t>
            </w:r>
            <w:r>
              <w:t>presum</w:t>
            </w:r>
            <w:r>
              <w:t>ption that the disease or illness was</w:t>
            </w:r>
            <w:r>
              <w:t xml:space="preserve"> developed during the course and scope of employment</w:t>
            </w:r>
            <w:r>
              <w:t xml:space="preserve"> is claimed to be applicable</w:t>
            </w:r>
            <w:r w:rsidRPr="00272075">
              <w:t xml:space="preserve"> and, not later than the 15th day after the date on which the insurance carrier received written notice </w:t>
            </w:r>
            <w:r w:rsidRPr="00272075">
              <w:t xml:space="preserve">of the injury, the carrier has provided the employee </w:t>
            </w:r>
            <w:r>
              <w:t xml:space="preserve">and the </w:t>
            </w:r>
            <w:r>
              <w:t xml:space="preserve">workers' compensation </w:t>
            </w:r>
            <w:r>
              <w:t>division</w:t>
            </w:r>
            <w:r>
              <w:t xml:space="preserve"> of the Texas Workforce Commission</w:t>
            </w:r>
            <w:r>
              <w:t xml:space="preserve"> </w:t>
            </w:r>
            <w:r w:rsidRPr="00272075">
              <w:t>with a notice that describes</w:t>
            </w:r>
            <w:r>
              <w:t xml:space="preserve"> all steps taken by the carrier to investigate the injury before the notice was given and</w:t>
            </w:r>
            <w:r w:rsidRPr="00272075">
              <w:t xml:space="preserve"> the evidence</w:t>
            </w:r>
            <w:r w:rsidRPr="00272075">
              <w:t xml:space="preserve"> the carrier reasonably believes is necessary to complete its investigation of the compensability of the injury. The </w:t>
            </w:r>
            <w:r>
              <w:t xml:space="preserve">bill requires the </w:t>
            </w:r>
            <w:r w:rsidRPr="00272075">
              <w:t>commissioner</w:t>
            </w:r>
            <w:r>
              <w:t xml:space="preserve"> of workers' compensation</w:t>
            </w:r>
            <w:r w:rsidRPr="00272075">
              <w:t xml:space="preserve"> </w:t>
            </w:r>
            <w:r>
              <w:t>to</w:t>
            </w:r>
            <w:r w:rsidRPr="00272075">
              <w:t xml:space="preserve"> adopt rules as necessary to implement </w:t>
            </w:r>
            <w:r>
              <w:t>that</w:t>
            </w:r>
            <w:r w:rsidRPr="00272075">
              <w:t xml:space="preserve"> </w:t>
            </w:r>
            <w:r>
              <w:t>provision</w:t>
            </w:r>
            <w:r>
              <w:t xml:space="preserve"> </w:t>
            </w:r>
            <w:r>
              <w:t xml:space="preserve">and </w:t>
            </w:r>
            <w:r>
              <w:t xml:space="preserve">establishes that an </w:t>
            </w:r>
            <w:r w:rsidRPr="00670150">
              <w:t>ins</w:t>
            </w:r>
            <w:r w:rsidRPr="00670150">
              <w:t xml:space="preserve">urance carrier has not committed an administrative violation </w:t>
            </w:r>
            <w:r>
              <w:t xml:space="preserve">for refusal to pay benefits </w:t>
            </w:r>
            <w:r w:rsidRPr="00670150">
              <w:t xml:space="preserve">if the carrier has sent </w:t>
            </w:r>
            <w:r>
              <w:t>that or other applicable</w:t>
            </w:r>
            <w:r>
              <w:t xml:space="preserve"> </w:t>
            </w:r>
            <w:r w:rsidRPr="00670150">
              <w:t>notice to the employee.</w:t>
            </w:r>
            <w:r>
              <w:t xml:space="preserve"> </w:t>
            </w:r>
          </w:p>
          <w:p w:rsidR="006E6FCA" w:rsidRDefault="001D6438" w:rsidP="004C504C">
            <w:pPr>
              <w:pStyle w:val="Header"/>
              <w:jc w:val="both"/>
            </w:pPr>
          </w:p>
          <w:p w:rsidR="00551879" w:rsidRDefault="001D6438" w:rsidP="004C504C">
            <w:pPr>
              <w:pStyle w:val="Header"/>
              <w:jc w:val="both"/>
            </w:pPr>
            <w:r>
              <w:t>C.S.S.B. 2551</w:t>
            </w:r>
            <w:r>
              <w:t xml:space="preserve"> requires the commissioner of workers' compensation, in </w:t>
            </w:r>
            <w:r w:rsidRPr="00670150">
              <w:t xml:space="preserve">determining whether to </w:t>
            </w:r>
            <w:r w:rsidRPr="00670150">
              <w:t>assess an administrative penalty</w:t>
            </w:r>
            <w:r>
              <w:t xml:space="preserve"> involving a claim in which the insurance carrier provided</w:t>
            </w:r>
            <w:r>
              <w:t xml:space="preserve"> </w:t>
            </w:r>
            <w:r>
              <w:t>notice under the bill's provisions</w:t>
            </w:r>
            <w:r>
              <w:t>,</w:t>
            </w:r>
            <w:r>
              <w:t xml:space="preserve"> to consider whether</w:t>
            </w:r>
            <w:r>
              <w:t>:</w:t>
            </w:r>
            <w:r>
              <w:t xml:space="preserve"> </w:t>
            </w:r>
          </w:p>
          <w:p w:rsidR="00551879" w:rsidRDefault="001D6438" w:rsidP="004C504C">
            <w:pPr>
              <w:pStyle w:val="Header"/>
              <w:numPr>
                <w:ilvl w:val="0"/>
                <w:numId w:val="2"/>
              </w:numPr>
              <w:spacing w:before="120" w:after="120"/>
              <w:jc w:val="both"/>
            </w:pPr>
            <w:r>
              <w:t xml:space="preserve">the employee cooperated with the carrier's investigation of the claim; </w:t>
            </w:r>
          </w:p>
          <w:p w:rsidR="00551879" w:rsidRDefault="001D6438" w:rsidP="004C504C">
            <w:pPr>
              <w:pStyle w:val="Header"/>
              <w:numPr>
                <w:ilvl w:val="0"/>
                <w:numId w:val="2"/>
              </w:numPr>
              <w:spacing w:before="120" w:after="120"/>
              <w:jc w:val="both"/>
            </w:pPr>
            <w:r>
              <w:t>the employee timely authorized acce</w:t>
            </w:r>
            <w:r>
              <w:t>ss to the applicable medical records before the carrier's deadline to begin payment of benefits or to notify the workers' compensation division and the employee of its refusal to pay benefits;</w:t>
            </w:r>
            <w:r>
              <w:t xml:space="preserve"> and </w:t>
            </w:r>
          </w:p>
          <w:p w:rsidR="00551879" w:rsidRDefault="001D6438" w:rsidP="004C504C">
            <w:pPr>
              <w:pStyle w:val="Header"/>
              <w:numPr>
                <w:ilvl w:val="0"/>
                <w:numId w:val="2"/>
              </w:numPr>
              <w:spacing w:before="120" w:after="120"/>
              <w:jc w:val="both"/>
            </w:pPr>
            <w:r>
              <w:t>the carrier has done the following:</w:t>
            </w:r>
          </w:p>
          <w:p w:rsidR="00551879" w:rsidRDefault="001D6438" w:rsidP="004C504C">
            <w:pPr>
              <w:pStyle w:val="Header"/>
              <w:numPr>
                <w:ilvl w:val="1"/>
                <w:numId w:val="2"/>
              </w:numPr>
              <w:spacing w:before="120" w:after="120"/>
              <w:jc w:val="both"/>
            </w:pPr>
            <w:r>
              <w:t>conducted an investiga</w:t>
            </w:r>
            <w:r>
              <w:t xml:space="preserve">tion of the claim; </w:t>
            </w:r>
          </w:p>
          <w:p w:rsidR="00551879" w:rsidRDefault="001D6438" w:rsidP="004C504C">
            <w:pPr>
              <w:pStyle w:val="Header"/>
              <w:numPr>
                <w:ilvl w:val="1"/>
                <w:numId w:val="2"/>
              </w:numPr>
              <w:spacing w:before="120" w:after="120"/>
              <w:jc w:val="both"/>
            </w:pPr>
            <w:r>
              <w:t xml:space="preserve">applied the applicable statutory presumptions regarding the disease or illness having been caused during </w:t>
            </w:r>
            <w:r w:rsidRPr="00551879">
              <w:t>the course and scope of employment</w:t>
            </w:r>
            <w:r>
              <w:t>;</w:t>
            </w:r>
            <w:r>
              <w:t xml:space="preserve"> and </w:t>
            </w:r>
          </w:p>
          <w:p w:rsidR="00551879" w:rsidRDefault="001D6438" w:rsidP="00EA6274">
            <w:pPr>
              <w:pStyle w:val="Header"/>
              <w:numPr>
                <w:ilvl w:val="1"/>
                <w:numId w:val="2"/>
              </w:numPr>
              <w:jc w:val="both"/>
            </w:pPr>
            <w:r>
              <w:t>expedited the provision of medical benefits</w:t>
            </w:r>
            <w:r>
              <w:t xml:space="preserve">. </w:t>
            </w:r>
          </w:p>
          <w:p w:rsidR="00551879" w:rsidRDefault="001D6438" w:rsidP="00EA6274">
            <w:pPr>
              <w:pStyle w:val="Header"/>
              <w:jc w:val="both"/>
            </w:pPr>
          </w:p>
          <w:p w:rsidR="00436911" w:rsidRDefault="001D6438" w:rsidP="004C504C">
            <w:pPr>
              <w:pStyle w:val="Header"/>
              <w:jc w:val="both"/>
            </w:pPr>
            <w:r>
              <w:t>C.S.S.B. 2551 makes</w:t>
            </w:r>
            <w:r>
              <w:t xml:space="preserve"> a political subdivision</w:t>
            </w:r>
            <w:r>
              <w:t xml:space="preserve"> that self-insures either individually or collectively </w:t>
            </w:r>
            <w:r>
              <w:t>for workers' compensation coverage</w:t>
            </w:r>
            <w:r>
              <w:t xml:space="preserve"> liable for </w:t>
            </w:r>
            <w:r>
              <w:t>the following, in addition to attorney's fees f</w:t>
            </w:r>
            <w:r w:rsidRPr="00436911">
              <w:t>or representation of insurance carrier's interest</w:t>
            </w:r>
            <w:r>
              <w:t>, if applicable:</w:t>
            </w:r>
            <w:r w:rsidRPr="00436911">
              <w:t xml:space="preserve"> </w:t>
            </w:r>
          </w:p>
          <w:p w:rsidR="00436911" w:rsidRDefault="001D6438" w:rsidP="004C504C">
            <w:pPr>
              <w:pStyle w:val="Header"/>
              <w:numPr>
                <w:ilvl w:val="0"/>
                <w:numId w:val="3"/>
              </w:numPr>
              <w:spacing w:before="120" w:after="120"/>
              <w:jc w:val="both"/>
            </w:pPr>
            <w:r w:rsidRPr="00670150">
              <w:t xml:space="preserve">sanctions, administrative penalties, and </w:t>
            </w:r>
            <w:r w:rsidRPr="00670150">
              <w:t>other remedies authorized under</w:t>
            </w:r>
            <w:r>
              <w:t xml:space="preserve"> applicable provisions of the </w:t>
            </w:r>
            <w:r>
              <w:t>Texas Workers' Compensation Act</w:t>
            </w:r>
            <w:r>
              <w:t>;</w:t>
            </w:r>
            <w:r>
              <w:t xml:space="preserve"> and </w:t>
            </w:r>
          </w:p>
          <w:p w:rsidR="00272075" w:rsidRDefault="001D6438" w:rsidP="00EA6274">
            <w:pPr>
              <w:pStyle w:val="Header"/>
              <w:numPr>
                <w:ilvl w:val="0"/>
                <w:numId w:val="3"/>
              </w:numPr>
              <w:jc w:val="both"/>
            </w:pPr>
            <w:r>
              <w:t xml:space="preserve">certain </w:t>
            </w:r>
            <w:r w:rsidRPr="00CD44B7">
              <w:t>attorney's fees</w:t>
            </w:r>
            <w:r>
              <w:t xml:space="preserve"> paid to </w:t>
            </w:r>
            <w:r>
              <w:t xml:space="preserve">the </w:t>
            </w:r>
            <w:r>
              <w:t>claimant's counsel.</w:t>
            </w:r>
          </w:p>
          <w:p w:rsidR="00CD44B7" w:rsidRDefault="001D6438" w:rsidP="00EA6274">
            <w:pPr>
              <w:pStyle w:val="Header"/>
              <w:jc w:val="both"/>
            </w:pPr>
          </w:p>
          <w:p w:rsidR="00317331" w:rsidRDefault="001D6438" w:rsidP="00EA6274">
            <w:pPr>
              <w:pStyle w:val="Header"/>
              <w:jc w:val="both"/>
            </w:pPr>
            <w:r>
              <w:t>C.S.</w:t>
            </w:r>
            <w:r>
              <w:t xml:space="preserve">S.B. 2551 authorizes a </w:t>
            </w:r>
            <w:r w:rsidRPr="00CD44B7">
              <w:t>pool or a political subdivision that self-insures</w:t>
            </w:r>
            <w:r>
              <w:t xml:space="preserve"> for workers' compensation coverage</w:t>
            </w:r>
            <w:r w:rsidRPr="00CD44B7">
              <w:t xml:space="preserve"> </w:t>
            </w:r>
            <w:r>
              <w:t>to</w:t>
            </w:r>
            <w:r w:rsidRPr="00CD44B7">
              <w:t xml:space="preserve"> establish an account for the payment of death benefits for a compensable injury</w:t>
            </w:r>
            <w:r>
              <w:t xml:space="preserve"> caused by an applicable cancer</w:t>
            </w:r>
            <w:r w:rsidRPr="00CD44B7">
              <w:t xml:space="preserve"> to a firefighter or emergency medical technician</w:t>
            </w:r>
            <w:r>
              <w:t xml:space="preserve">. </w:t>
            </w:r>
            <w:r>
              <w:t>Such</w:t>
            </w:r>
            <w:r>
              <w:t xml:space="preserve"> an account </w:t>
            </w:r>
            <w:r>
              <w:t>may</w:t>
            </w:r>
            <w:r>
              <w:t xml:space="preserve"> </w:t>
            </w:r>
            <w:r w:rsidRPr="00CD44B7">
              <w:t xml:space="preserve">accumulate assets in an amount that </w:t>
            </w:r>
            <w:r w:rsidRPr="00CD44B7">
              <w:t xml:space="preserve">the pool or political subdivision, in its sole discretion, determines is necessary in order to pay </w:t>
            </w:r>
            <w:r>
              <w:t xml:space="preserve">those </w:t>
            </w:r>
            <w:r w:rsidRPr="00CD44B7">
              <w:t>death benefits. The</w:t>
            </w:r>
            <w:r>
              <w:t xml:space="preserve"> </w:t>
            </w:r>
            <w:r w:rsidRPr="00CD44B7">
              <w:t>establishment of an account or the amount of assets accumulated in the account does not affect the liability of a pool or political</w:t>
            </w:r>
            <w:r w:rsidRPr="00CD44B7">
              <w:t xml:space="preserve"> subdivision for the payment of death benefits.</w:t>
            </w:r>
            <w:r>
              <w:t xml:space="preserve"> The bill </w:t>
            </w:r>
            <w:r>
              <w:t>makes</w:t>
            </w:r>
            <w:r>
              <w:t xml:space="preserve"> the Public Funds Investment Act </w:t>
            </w:r>
            <w:r>
              <w:t>inapplicable</w:t>
            </w:r>
            <w:r w:rsidRPr="00CD44B7">
              <w:t xml:space="preserve"> to the investment of assets in </w:t>
            </w:r>
            <w:r>
              <w:t>the</w:t>
            </w:r>
            <w:r w:rsidRPr="00CD44B7">
              <w:t xml:space="preserve"> </w:t>
            </w:r>
            <w:r w:rsidRPr="00CD44B7">
              <w:t xml:space="preserve">account </w:t>
            </w:r>
            <w:r>
              <w:t>and</w:t>
            </w:r>
            <w:r>
              <w:t xml:space="preserve"> requires a</w:t>
            </w:r>
            <w:r w:rsidRPr="00CD44B7">
              <w:t xml:space="preserve"> pool or political subdivision investing or reinvesting </w:t>
            </w:r>
            <w:r>
              <w:t>those</w:t>
            </w:r>
            <w:r w:rsidRPr="00CD44B7">
              <w:t xml:space="preserve"> </w:t>
            </w:r>
            <w:r w:rsidRPr="00CD44B7">
              <w:t xml:space="preserve">assets </w:t>
            </w:r>
            <w:r>
              <w:t>to</w:t>
            </w:r>
            <w:r w:rsidRPr="00CD44B7">
              <w:t xml:space="preserve"> exercise the judgment and care, under the circumstances, that a person of prudence, discretion, and intelligence would exercise in the management of the person's own affairs, considering the probable income to be derived and the probable safety of capital</w:t>
            </w:r>
            <w:r w:rsidRPr="00CD44B7">
              <w:t xml:space="preserve">. </w:t>
            </w:r>
            <w:r>
              <w:t>The bill requires a</w:t>
            </w:r>
            <w:r w:rsidRPr="00CD44B7">
              <w:t xml:space="preserve"> determination of whether the pool or political subdivision exercised prudence in making an investment decision </w:t>
            </w:r>
            <w:r>
              <w:t>to</w:t>
            </w:r>
            <w:r w:rsidRPr="00CD44B7">
              <w:t xml:space="preserve"> be made by considering the investment of all assets of the account rather than by considering the prudence of a single i</w:t>
            </w:r>
            <w:r w:rsidRPr="00CD44B7">
              <w:t>nvestment.</w:t>
            </w:r>
            <w:r>
              <w:t xml:space="preserve"> </w:t>
            </w:r>
          </w:p>
          <w:p w:rsidR="00317331" w:rsidRDefault="001D6438" w:rsidP="004C504C">
            <w:pPr>
              <w:pStyle w:val="Header"/>
              <w:jc w:val="both"/>
            </w:pPr>
          </w:p>
          <w:p w:rsidR="00CD44B7" w:rsidRDefault="001D6438" w:rsidP="004C504C">
            <w:pPr>
              <w:pStyle w:val="Header"/>
              <w:jc w:val="both"/>
            </w:pPr>
            <w:r>
              <w:t>C.S.S.B. 2551</w:t>
            </w:r>
            <w:r>
              <w:t xml:space="preserve"> requires the commissioner of workers' compensation to adopt rules as required by or necessary to implement the bill's provisions not later than January 1, 2020.</w:t>
            </w:r>
            <w:r>
              <w:t xml:space="preserve"> </w:t>
            </w:r>
          </w:p>
          <w:p w:rsidR="008423E4" w:rsidRPr="00835628" w:rsidRDefault="001D6438" w:rsidP="004C504C">
            <w:pPr>
              <w:rPr>
                <w:b/>
              </w:rPr>
            </w:pPr>
          </w:p>
        </w:tc>
      </w:tr>
      <w:tr w:rsidR="00374BE5" w:rsidTr="005D7FEE">
        <w:tc>
          <w:tcPr>
            <w:tcW w:w="9360" w:type="dxa"/>
          </w:tcPr>
          <w:p w:rsidR="008423E4" w:rsidRPr="00A8133F" w:rsidRDefault="001D6438" w:rsidP="004C504C">
            <w:pPr>
              <w:rPr>
                <w:b/>
              </w:rPr>
            </w:pPr>
            <w:r w:rsidRPr="009C1E9A">
              <w:rPr>
                <w:b/>
                <w:u w:val="single"/>
              </w:rPr>
              <w:t>EFFECTIVE DATE</w:t>
            </w:r>
            <w:r>
              <w:rPr>
                <w:b/>
              </w:rPr>
              <w:t xml:space="preserve"> </w:t>
            </w:r>
          </w:p>
          <w:p w:rsidR="008423E4" w:rsidRDefault="001D6438" w:rsidP="004C504C"/>
          <w:p w:rsidR="008423E4" w:rsidRPr="003624F2" w:rsidRDefault="001D6438" w:rsidP="004C504C">
            <w:pPr>
              <w:pStyle w:val="Header"/>
              <w:tabs>
                <w:tab w:val="clear" w:pos="4320"/>
                <w:tab w:val="clear" w:pos="8640"/>
              </w:tabs>
              <w:jc w:val="both"/>
            </w:pPr>
            <w:r>
              <w:t>On passage, or, if the bill does not receive the</w:t>
            </w:r>
            <w:r>
              <w:t xml:space="preserve"> necessary vote, September 1, 2019.</w:t>
            </w:r>
          </w:p>
          <w:p w:rsidR="008423E4" w:rsidRPr="00233FDB" w:rsidRDefault="001D6438" w:rsidP="004C504C">
            <w:pPr>
              <w:rPr>
                <w:b/>
              </w:rPr>
            </w:pPr>
          </w:p>
        </w:tc>
      </w:tr>
      <w:tr w:rsidR="00374BE5" w:rsidTr="005D7FEE">
        <w:tc>
          <w:tcPr>
            <w:tcW w:w="9360" w:type="dxa"/>
          </w:tcPr>
          <w:p w:rsidR="009D0255" w:rsidRDefault="001D6438" w:rsidP="004C504C">
            <w:pPr>
              <w:jc w:val="both"/>
              <w:rPr>
                <w:b/>
                <w:u w:val="single"/>
              </w:rPr>
            </w:pPr>
            <w:r>
              <w:rPr>
                <w:b/>
                <w:u w:val="single"/>
              </w:rPr>
              <w:t>COMPARISON OF SENATE ENGROSSED AND SUBSTITUTE</w:t>
            </w:r>
          </w:p>
          <w:p w:rsidR="00D779B5" w:rsidRDefault="001D6438" w:rsidP="004C504C">
            <w:pPr>
              <w:jc w:val="both"/>
            </w:pPr>
          </w:p>
          <w:p w:rsidR="00D779B5" w:rsidRDefault="001D6438" w:rsidP="004C504C">
            <w:pPr>
              <w:jc w:val="both"/>
            </w:pPr>
            <w:r>
              <w:t>While C.S.S.B. 2551 may differ from the engrossed in minor or nonsubstantive ways, the following summarizes the substantial differences between the engrossed and committee</w:t>
            </w:r>
            <w:r>
              <w:t xml:space="preserve"> substitute versions of the bill.</w:t>
            </w:r>
          </w:p>
          <w:p w:rsidR="00D779B5" w:rsidRDefault="001D6438" w:rsidP="004C504C">
            <w:pPr>
              <w:jc w:val="both"/>
            </w:pPr>
          </w:p>
          <w:p w:rsidR="00997C13" w:rsidRDefault="001D6438" w:rsidP="004C504C">
            <w:pPr>
              <w:jc w:val="both"/>
            </w:pPr>
            <w:r>
              <w:t xml:space="preserve">The substitute revises the </w:t>
            </w:r>
            <w:r>
              <w:t>conditions</w:t>
            </w:r>
            <w:r>
              <w:t xml:space="preserve"> under which </w:t>
            </w:r>
            <w:r>
              <w:t xml:space="preserve">an insurance carrier </w:t>
            </w:r>
            <w:r w:rsidRPr="009B47D5">
              <w:t xml:space="preserve">is </w:t>
            </w:r>
            <w:r>
              <w:t>excepted from</w:t>
            </w:r>
            <w:r w:rsidRPr="009B47D5">
              <w:t xml:space="preserve"> compl</w:t>
            </w:r>
            <w:r>
              <w:t>iance</w:t>
            </w:r>
            <w:r w:rsidRPr="009B47D5">
              <w:t xml:space="preserve"> with certain provisions of the Texas Workers' Compensation Act providing for the prompt </w:t>
            </w:r>
            <w:r>
              <w:t>initiation</w:t>
            </w:r>
            <w:r w:rsidRPr="009B47D5">
              <w:t xml:space="preserve"> of compensation under t</w:t>
            </w:r>
            <w:r w:rsidRPr="009B47D5">
              <w:t xml:space="preserve">hat </w:t>
            </w:r>
            <w:r>
              <w:t>a</w:t>
            </w:r>
            <w:r w:rsidRPr="009B47D5">
              <w:t>ct</w:t>
            </w:r>
            <w:r>
              <w:t xml:space="preserve"> by</w:t>
            </w:r>
            <w:r>
              <w:t xml:space="preserve"> conditioning the exception on notice being provided to the workers' compensation division of the Texas Workforce Commission in addition to the applicable employee and on the notice describing all steps taken by the insurance carrier to investiga</w:t>
            </w:r>
            <w:r>
              <w:t>te the injury before the notice was given</w:t>
            </w:r>
            <w:r>
              <w:t>.</w:t>
            </w:r>
            <w:r w:rsidRPr="009B47D5">
              <w:t xml:space="preserve"> </w:t>
            </w:r>
          </w:p>
          <w:p w:rsidR="00125174" w:rsidRDefault="001D6438" w:rsidP="004C504C">
            <w:pPr>
              <w:jc w:val="both"/>
            </w:pPr>
          </w:p>
          <w:p w:rsidR="00D779B5" w:rsidRDefault="001D6438" w:rsidP="004C504C">
            <w:pPr>
              <w:jc w:val="both"/>
            </w:pPr>
            <w:r>
              <w:t xml:space="preserve">The substitute does not </w:t>
            </w:r>
            <w:r>
              <w:t xml:space="preserve">establish </w:t>
            </w:r>
            <w:r>
              <w:t xml:space="preserve">an insurance carrier </w:t>
            </w:r>
            <w:r>
              <w:t xml:space="preserve">having </w:t>
            </w:r>
            <w:r>
              <w:t xml:space="preserve">reasonable grounds for a refusal to pay </w:t>
            </w:r>
            <w:r>
              <w:t xml:space="preserve">certain workers' compensation </w:t>
            </w:r>
            <w:r>
              <w:t>benefits</w:t>
            </w:r>
            <w:r>
              <w:t xml:space="preserve"> on the basis of the carrier having sent applicable notice to the employee</w:t>
            </w:r>
            <w:r>
              <w:t>.</w:t>
            </w:r>
          </w:p>
          <w:p w:rsidR="00125174" w:rsidRDefault="001D6438" w:rsidP="004C504C">
            <w:pPr>
              <w:jc w:val="both"/>
            </w:pPr>
          </w:p>
          <w:p w:rsidR="00B65606" w:rsidRDefault="001D6438" w:rsidP="004C504C">
            <w:pPr>
              <w:jc w:val="both"/>
            </w:pPr>
            <w:r>
              <w:t xml:space="preserve">The substitute </w:t>
            </w:r>
            <w:r>
              <w:t xml:space="preserve">does not </w:t>
            </w:r>
            <w:r>
              <w:t xml:space="preserve">include </w:t>
            </w:r>
            <w:r>
              <w:t>sanctions or other authorized remedies</w:t>
            </w:r>
            <w:r>
              <w:t>, in addition to an administrative penalty,</w:t>
            </w:r>
            <w:r>
              <w:t xml:space="preserve"> in relation to the duties of the commissioner of workers' compens</w:t>
            </w:r>
            <w:r>
              <w:t>ation for determining</w:t>
            </w:r>
            <w:r>
              <w:t xml:space="preserve"> assessments against an insurance carrier for a violation</w:t>
            </w:r>
            <w:r>
              <w:t xml:space="preserve"> </w:t>
            </w:r>
            <w:r>
              <w:t xml:space="preserve">with regard </w:t>
            </w:r>
            <w:r>
              <w:t>to a</w:t>
            </w:r>
            <w:r>
              <w:t>n applicable</w:t>
            </w:r>
            <w:r>
              <w:t xml:space="preserve"> claim</w:t>
            </w:r>
            <w:r>
              <w:t>.</w:t>
            </w:r>
            <w:r>
              <w:t xml:space="preserve"> </w:t>
            </w:r>
          </w:p>
          <w:p w:rsidR="00B65606" w:rsidRDefault="001D6438" w:rsidP="004C504C">
            <w:pPr>
              <w:jc w:val="both"/>
            </w:pPr>
          </w:p>
          <w:p w:rsidR="00997C13" w:rsidRDefault="001D6438" w:rsidP="004C504C">
            <w:pPr>
              <w:jc w:val="both"/>
            </w:pPr>
            <w:r>
              <w:t>The substitute limits the applicability of the provision establishing certain considerations for the commissioner to make in determining wh</w:t>
            </w:r>
            <w:r>
              <w:t xml:space="preserve">ether to assess an administrative penalty to claims in which the insurance carrier has provided a certain notice under the bill's provisions and </w:t>
            </w:r>
            <w:r>
              <w:t xml:space="preserve">includes among </w:t>
            </w:r>
            <w:r>
              <w:t>those required considerations</w:t>
            </w:r>
            <w:r>
              <w:t xml:space="preserve"> that the insurance carrier conducted an investigation of the claim</w:t>
            </w:r>
            <w:r>
              <w:t>, applied specified statutory presumptions, and expedited certain medical benefits</w:t>
            </w:r>
            <w:r>
              <w:t>.</w:t>
            </w:r>
          </w:p>
          <w:p w:rsidR="00125174" w:rsidRDefault="001D6438" w:rsidP="004C504C">
            <w:pPr>
              <w:jc w:val="both"/>
            </w:pPr>
          </w:p>
          <w:p w:rsidR="00997C13" w:rsidRDefault="001D6438" w:rsidP="004C504C">
            <w:pPr>
              <w:jc w:val="both"/>
            </w:pPr>
            <w:r>
              <w:t xml:space="preserve">The substitute </w:t>
            </w:r>
            <w:r>
              <w:t>imposes a January 1, 2020,</w:t>
            </w:r>
            <w:r>
              <w:t xml:space="preserve"> deadline for the commissioner to adopt </w:t>
            </w:r>
            <w:r>
              <w:t xml:space="preserve">the </w:t>
            </w:r>
            <w:r>
              <w:t xml:space="preserve">rules required by </w:t>
            </w:r>
            <w:r>
              <w:t>the bill's provisions</w:t>
            </w:r>
            <w:r>
              <w:t xml:space="preserve"> and also </w:t>
            </w:r>
            <w:r>
              <w:t xml:space="preserve">includes a </w:t>
            </w:r>
            <w:r>
              <w:t>require</w:t>
            </w:r>
            <w:r>
              <w:t>ment for</w:t>
            </w:r>
            <w:r>
              <w:t xml:space="preserve"> the commis</w:t>
            </w:r>
            <w:r>
              <w:t>sioner to adopt any rules necessary to implement those provisions by that date</w:t>
            </w:r>
            <w:r>
              <w:t>.</w:t>
            </w:r>
          </w:p>
          <w:p w:rsidR="00D779B5" w:rsidRPr="00D779B5" w:rsidRDefault="001D6438" w:rsidP="004C504C">
            <w:pPr>
              <w:jc w:val="both"/>
            </w:pPr>
          </w:p>
        </w:tc>
      </w:tr>
    </w:tbl>
    <w:p w:rsidR="008423E4" w:rsidRPr="00BE0E75" w:rsidRDefault="001D6438" w:rsidP="008423E4">
      <w:pPr>
        <w:spacing w:line="480" w:lineRule="auto"/>
        <w:jc w:val="both"/>
        <w:rPr>
          <w:rFonts w:ascii="Arial" w:hAnsi="Arial"/>
          <w:sz w:val="16"/>
          <w:szCs w:val="16"/>
        </w:rPr>
      </w:pPr>
    </w:p>
    <w:p w:rsidR="004108C3" w:rsidRPr="008423E4" w:rsidRDefault="001D643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6438">
      <w:r>
        <w:separator/>
      </w:r>
    </w:p>
  </w:endnote>
  <w:endnote w:type="continuationSeparator" w:id="0">
    <w:p w:rsidR="00000000" w:rsidRDefault="001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D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4BE5" w:rsidTr="009C1E9A">
      <w:trPr>
        <w:cantSplit/>
      </w:trPr>
      <w:tc>
        <w:tcPr>
          <w:tcW w:w="0" w:type="pct"/>
        </w:tcPr>
        <w:p w:rsidR="00137D90" w:rsidRDefault="001D6438" w:rsidP="009C1E9A">
          <w:pPr>
            <w:pStyle w:val="Footer"/>
            <w:tabs>
              <w:tab w:val="clear" w:pos="8640"/>
              <w:tab w:val="right" w:pos="9360"/>
            </w:tabs>
          </w:pPr>
        </w:p>
      </w:tc>
      <w:tc>
        <w:tcPr>
          <w:tcW w:w="2395" w:type="pct"/>
        </w:tcPr>
        <w:p w:rsidR="00137D90" w:rsidRDefault="001D6438" w:rsidP="009C1E9A">
          <w:pPr>
            <w:pStyle w:val="Footer"/>
            <w:tabs>
              <w:tab w:val="clear" w:pos="8640"/>
              <w:tab w:val="right" w:pos="9360"/>
            </w:tabs>
          </w:pPr>
        </w:p>
        <w:p w:rsidR="001A4310" w:rsidRDefault="001D6438" w:rsidP="009C1E9A">
          <w:pPr>
            <w:pStyle w:val="Footer"/>
            <w:tabs>
              <w:tab w:val="clear" w:pos="8640"/>
              <w:tab w:val="right" w:pos="9360"/>
            </w:tabs>
          </w:pPr>
        </w:p>
        <w:p w:rsidR="00137D90" w:rsidRDefault="001D6438" w:rsidP="009C1E9A">
          <w:pPr>
            <w:pStyle w:val="Footer"/>
            <w:tabs>
              <w:tab w:val="clear" w:pos="8640"/>
              <w:tab w:val="right" w:pos="9360"/>
            </w:tabs>
          </w:pPr>
        </w:p>
      </w:tc>
      <w:tc>
        <w:tcPr>
          <w:tcW w:w="2453" w:type="pct"/>
        </w:tcPr>
        <w:p w:rsidR="00137D90" w:rsidRDefault="001D6438" w:rsidP="009C1E9A">
          <w:pPr>
            <w:pStyle w:val="Footer"/>
            <w:tabs>
              <w:tab w:val="clear" w:pos="8640"/>
              <w:tab w:val="right" w:pos="9360"/>
            </w:tabs>
            <w:jc w:val="right"/>
          </w:pPr>
        </w:p>
      </w:tc>
    </w:tr>
    <w:tr w:rsidR="00374BE5" w:rsidTr="009C1E9A">
      <w:trPr>
        <w:cantSplit/>
      </w:trPr>
      <w:tc>
        <w:tcPr>
          <w:tcW w:w="0" w:type="pct"/>
        </w:tcPr>
        <w:p w:rsidR="00EC379B" w:rsidRDefault="001D6438" w:rsidP="009C1E9A">
          <w:pPr>
            <w:pStyle w:val="Footer"/>
            <w:tabs>
              <w:tab w:val="clear" w:pos="8640"/>
              <w:tab w:val="right" w:pos="9360"/>
            </w:tabs>
          </w:pPr>
        </w:p>
      </w:tc>
      <w:tc>
        <w:tcPr>
          <w:tcW w:w="2395" w:type="pct"/>
        </w:tcPr>
        <w:p w:rsidR="00EC379B" w:rsidRPr="009C1E9A" w:rsidRDefault="001D6438" w:rsidP="009C1E9A">
          <w:pPr>
            <w:pStyle w:val="Footer"/>
            <w:tabs>
              <w:tab w:val="clear" w:pos="8640"/>
              <w:tab w:val="right" w:pos="9360"/>
            </w:tabs>
            <w:rPr>
              <w:rFonts w:ascii="Shruti" w:hAnsi="Shruti"/>
              <w:sz w:val="22"/>
            </w:rPr>
          </w:pPr>
          <w:r>
            <w:rPr>
              <w:rFonts w:ascii="Shruti" w:hAnsi="Shruti"/>
              <w:sz w:val="22"/>
            </w:rPr>
            <w:t>86R 34126</w:t>
          </w:r>
        </w:p>
      </w:tc>
      <w:tc>
        <w:tcPr>
          <w:tcW w:w="2453" w:type="pct"/>
        </w:tcPr>
        <w:p w:rsidR="00EC379B" w:rsidRDefault="001D6438" w:rsidP="009C1E9A">
          <w:pPr>
            <w:pStyle w:val="Footer"/>
            <w:tabs>
              <w:tab w:val="clear" w:pos="8640"/>
              <w:tab w:val="right" w:pos="9360"/>
            </w:tabs>
            <w:jc w:val="right"/>
          </w:pPr>
          <w:r>
            <w:fldChar w:fldCharType="begin"/>
          </w:r>
          <w:r>
            <w:instrText xml:space="preserve"> DOCPROPERTY  OTID  \* MERGEFORMAT </w:instrText>
          </w:r>
          <w:r>
            <w:fldChar w:fldCharType="separate"/>
          </w:r>
          <w:r>
            <w:t>19.135.1219</w:t>
          </w:r>
          <w:r>
            <w:fldChar w:fldCharType="end"/>
          </w:r>
        </w:p>
      </w:tc>
    </w:tr>
    <w:tr w:rsidR="00374BE5" w:rsidTr="009C1E9A">
      <w:trPr>
        <w:cantSplit/>
      </w:trPr>
      <w:tc>
        <w:tcPr>
          <w:tcW w:w="0" w:type="pct"/>
        </w:tcPr>
        <w:p w:rsidR="00EC379B" w:rsidRDefault="001D6438" w:rsidP="009C1E9A">
          <w:pPr>
            <w:pStyle w:val="Footer"/>
            <w:tabs>
              <w:tab w:val="clear" w:pos="4320"/>
              <w:tab w:val="clear" w:pos="8640"/>
              <w:tab w:val="left" w:pos="2865"/>
            </w:tabs>
          </w:pPr>
        </w:p>
      </w:tc>
      <w:tc>
        <w:tcPr>
          <w:tcW w:w="2395" w:type="pct"/>
        </w:tcPr>
        <w:p w:rsidR="00EC379B" w:rsidRPr="009C1E9A" w:rsidRDefault="001D643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32763</w:t>
          </w:r>
        </w:p>
      </w:tc>
      <w:tc>
        <w:tcPr>
          <w:tcW w:w="2453" w:type="pct"/>
        </w:tcPr>
        <w:p w:rsidR="00EC379B" w:rsidRDefault="001D6438" w:rsidP="006D504F">
          <w:pPr>
            <w:pStyle w:val="Footer"/>
            <w:rPr>
              <w:rStyle w:val="PageNumber"/>
            </w:rPr>
          </w:pPr>
        </w:p>
        <w:p w:rsidR="00EC379B" w:rsidRDefault="001D6438" w:rsidP="009C1E9A">
          <w:pPr>
            <w:pStyle w:val="Footer"/>
            <w:tabs>
              <w:tab w:val="clear" w:pos="8640"/>
              <w:tab w:val="right" w:pos="9360"/>
            </w:tabs>
            <w:jc w:val="right"/>
          </w:pPr>
        </w:p>
      </w:tc>
    </w:tr>
    <w:tr w:rsidR="00374BE5" w:rsidTr="009C1E9A">
      <w:trPr>
        <w:cantSplit/>
        <w:trHeight w:val="323"/>
      </w:trPr>
      <w:tc>
        <w:tcPr>
          <w:tcW w:w="0" w:type="pct"/>
          <w:gridSpan w:val="3"/>
        </w:tcPr>
        <w:p w:rsidR="00EC379B" w:rsidRDefault="001D643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D6438" w:rsidP="009C1E9A">
          <w:pPr>
            <w:pStyle w:val="Footer"/>
            <w:tabs>
              <w:tab w:val="clear" w:pos="8640"/>
              <w:tab w:val="right" w:pos="9360"/>
            </w:tabs>
            <w:jc w:val="center"/>
          </w:pPr>
        </w:p>
      </w:tc>
    </w:tr>
  </w:tbl>
  <w:p w:rsidR="00EC379B" w:rsidRPr="00FF6F72" w:rsidRDefault="001D643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D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6438">
      <w:r>
        <w:separator/>
      </w:r>
    </w:p>
  </w:footnote>
  <w:footnote w:type="continuationSeparator" w:id="0">
    <w:p w:rsidR="00000000" w:rsidRDefault="001D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D6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D6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D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821"/>
    <w:multiLevelType w:val="hybridMultilevel"/>
    <w:tmpl w:val="47E6BFA2"/>
    <w:lvl w:ilvl="0" w:tplc="59186CFE">
      <w:start w:val="1"/>
      <w:numFmt w:val="bullet"/>
      <w:lvlText w:val=""/>
      <w:lvlJc w:val="left"/>
      <w:pPr>
        <w:tabs>
          <w:tab w:val="num" w:pos="720"/>
        </w:tabs>
        <w:ind w:left="720" w:hanging="360"/>
      </w:pPr>
      <w:rPr>
        <w:rFonts w:ascii="Symbol" w:hAnsi="Symbol" w:hint="default"/>
      </w:rPr>
    </w:lvl>
    <w:lvl w:ilvl="1" w:tplc="CBD69004" w:tentative="1">
      <w:start w:val="1"/>
      <w:numFmt w:val="bullet"/>
      <w:lvlText w:val="o"/>
      <w:lvlJc w:val="left"/>
      <w:pPr>
        <w:ind w:left="1440" w:hanging="360"/>
      </w:pPr>
      <w:rPr>
        <w:rFonts w:ascii="Courier New" w:hAnsi="Courier New" w:cs="Courier New" w:hint="default"/>
      </w:rPr>
    </w:lvl>
    <w:lvl w:ilvl="2" w:tplc="7554933C" w:tentative="1">
      <w:start w:val="1"/>
      <w:numFmt w:val="bullet"/>
      <w:lvlText w:val=""/>
      <w:lvlJc w:val="left"/>
      <w:pPr>
        <w:ind w:left="2160" w:hanging="360"/>
      </w:pPr>
      <w:rPr>
        <w:rFonts w:ascii="Wingdings" w:hAnsi="Wingdings" w:hint="default"/>
      </w:rPr>
    </w:lvl>
    <w:lvl w:ilvl="3" w:tplc="F86CD6AE" w:tentative="1">
      <w:start w:val="1"/>
      <w:numFmt w:val="bullet"/>
      <w:lvlText w:val=""/>
      <w:lvlJc w:val="left"/>
      <w:pPr>
        <w:ind w:left="2880" w:hanging="360"/>
      </w:pPr>
      <w:rPr>
        <w:rFonts w:ascii="Symbol" w:hAnsi="Symbol" w:hint="default"/>
      </w:rPr>
    </w:lvl>
    <w:lvl w:ilvl="4" w:tplc="6DF6D850" w:tentative="1">
      <w:start w:val="1"/>
      <w:numFmt w:val="bullet"/>
      <w:lvlText w:val="o"/>
      <w:lvlJc w:val="left"/>
      <w:pPr>
        <w:ind w:left="3600" w:hanging="360"/>
      </w:pPr>
      <w:rPr>
        <w:rFonts w:ascii="Courier New" w:hAnsi="Courier New" w:cs="Courier New" w:hint="default"/>
      </w:rPr>
    </w:lvl>
    <w:lvl w:ilvl="5" w:tplc="F9BE8894" w:tentative="1">
      <w:start w:val="1"/>
      <w:numFmt w:val="bullet"/>
      <w:lvlText w:val=""/>
      <w:lvlJc w:val="left"/>
      <w:pPr>
        <w:ind w:left="4320" w:hanging="360"/>
      </w:pPr>
      <w:rPr>
        <w:rFonts w:ascii="Wingdings" w:hAnsi="Wingdings" w:hint="default"/>
      </w:rPr>
    </w:lvl>
    <w:lvl w:ilvl="6" w:tplc="FF0CFAEA" w:tentative="1">
      <w:start w:val="1"/>
      <w:numFmt w:val="bullet"/>
      <w:lvlText w:val=""/>
      <w:lvlJc w:val="left"/>
      <w:pPr>
        <w:ind w:left="5040" w:hanging="360"/>
      </w:pPr>
      <w:rPr>
        <w:rFonts w:ascii="Symbol" w:hAnsi="Symbol" w:hint="default"/>
      </w:rPr>
    </w:lvl>
    <w:lvl w:ilvl="7" w:tplc="9B26A07C" w:tentative="1">
      <w:start w:val="1"/>
      <w:numFmt w:val="bullet"/>
      <w:lvlText w:val="o"/>
      <w:lvlJc w:val="left"/>
      <w:pPr>
        <w:ind w:left="5760" w:hanging="360"/>
      </w:pPr>
      <w:rPr>
        <w:rFonts w:ascii="Courier New" w:hAnsi="Courier New" w:cs="Courier New" w:hint="default"/>
      </w:rPr>
    </w:lvl>
    <w:lvl w:ilvl="8" w:tplc="61C0799A" w:tentative="1">
      <w:start w:val="1"/>
      <w:numFmt w:val="bullet"/>
      <w:lvlText w:val=""/>
      <w:lvlJc w:val="left"/>
      <w:pPr>
        <w:ind w:left="6480" w:hanging="360"/>
      </w:pPr>
      <w:rPr>
        <w:rFonts w:ascii="Wingdings" w:hAnsi="Wingdings" w:hint="default"/>
      </w:rPr>
    </w:lvl>
  </w:abstractNum>
  <w:abstractNum w:abstractNumId="1" w15:restartNumberingAfterBreak="0">
    <w:nsid w:val="1A2D5B32"/>
    <w:multiLevelType w:val="hybridMultilevel"/>
    <w:tmpl w:val="932A16E2"/>
    <w:lvl w:ilvl="0" w:tplc="092AE3F2">
      <w:start w:val="1"/>
      <w:numFmt w:val="bullet"/>
      <w:lvlText w:val=""/>
      <w:lvlJc w:val="left"/>
      <w:pPr>
        <w:tabs>
          <w:tab w:val="num" w:pos="720"/>
        </w:tabs>
        <w:ind w:left="720" w:hanging="360"/>
      </w:pPr>
      <w:rPr>
        <w:rFonts w:ascii="Symbol" w:hAnsi="Symbol" w:hint="default"/>
      </w:rPr>
    </w:lvl>
    <w:lvl w:ilvl="1" w:tplc="4FACCD70" w:tentative="1">
      <w:start w:val="1"/>
      <w:numFmt w:val="bullet"/>
      <w:lvlText w:val="o"/>
      <w:lvlJc w:val="left"/>
      <w:pPr>
        <w:ind w:left="1440" w:hanging="360"/>
      </w:pPr>
      <w:rPr>
        <w:rFonts w:ascii="Courier New" w:hAnsi="Courier New" w:cs="Courier New" w:hint="default"/>
      </w:rPr>
    </w:lvl>
    <w:lvl w:ilvl="2" w:tplc="F6E69002" w:tentative="1">
      <w:start w:val="1"/>
      <w:numFmt w:val="bullet"/>
      <w:lvlText w:val=""/>
      <w:lvlJc w:val="left"/>
      <w:pPr>
        <w:ind w:left="2160" w:hanging="360"/>
      </w:pPr>
      <w:rPr>
        <w:rFonts w:ascii="Wingdings" w:hAnsi="Wingdings" w:hint="default"/>
      </w:rPr>
    </w:lvl>
    <w:lvl w:ilvl="3" w:tplc="37D68FE2" w:tentative="1">
      <w:start w:val="1"/>
      <w:numFmt w:val="bullet"/>
      <w:lvlText w:val=""/>
      <w:lvlJc w:val="left"/>
      <w:pPr>
        <w:ind w:left="2880" w:hanging="360"/>
      </w:pPr>
      <w:rPr>
        <w:rFonts w:ascii="Symbol" w:hAnsi="Symbol" w:hint="default"/>
      </w:rPr>
    </w:lvl>
    <w:lvl w:ilvl="4" w:tplc="3FB0D35A" w:tentative="1">
      <w:start w:val="1"/>
      <w:numFmt w:val="bullet"/>
      <w:lvlText w:val="o"/>
      <w:lvlJc w:val="left"/>
      <w:pPr>
        <w:ind w:left="3600" w:hanging="360"/>
      </w:pPr>
      <w:rPr>
        <w:rFonts w:ascii="Courier New" w:hAnsi="Courier New" w:cs="Courier New" w:hint="default"/>
      </w:rPr>
    </w:lvl>
    <w:lvl w:ilvl="5" w:tplc="D73A4802" w:tentative="1">
      <w:start w:val="1"/>
      <w:numFmt w:val="bullet"/>
      <w:lvlText w:val=""/>
      <w:lvlJc w:val="left"/>
      <w:pPr>
        <w:ind w:left="4320" w:hanging="360"/>
      </w:pPr>
      <w:rPr>
        <w:rFonts w:ascii="Wingdings" w:hAnsi="Wingdings" w:hint="default"/>
      </w:rPr>
    </w:lvl>
    <w:lvl w:ilvl="6" w:tplc="F2B49BD0" w:tentative="1">
      <w:start w:val="1"/>
      <w:numFmt w:val="bullet"/>
      <w:lvlText w:val=""/>
      <w:lvlJc w:val="left"/>
      <w:pPr>
        <w:ind w:left="5040" w:hanging="360"/>
      </w:pPr>
      <w:rPr>
        <w:rFonts w:ascii="Symbol" w:hAnsi="Symbol" w:hint="default"/>
      </w:rPr>
    </w:lvl>
    <w:lvl w:ilvl="7" w:tplc="FF3C54F2" w:tentative="1">
      <w:start w:val="1"/>
      <w:numFmt w:val="bullet"/>
      <w:lvlText w:val="o"/>
      <w:lvlJc w:val="left"/>
      <w:pPr>
        <w:ind w:left="5760" w:hanging="360"/>
      </w:pPr>
      <w:rPr>
        <w:rFonts w:ascii="Courier New" w:hAnsi="Courier New" w:cs="Courier New" w:hint="default"/>
      </w:rPr>
    </w:lvl>
    <w:lvl w:ilvl="8" w:tplc="1FF66AE6" w:tentative="1">
      <w:start w:val="1"/>
      <w:numFmt w:val="bullet"/>
      <w:lvlText w:val=""/>
      <w:lvlJc w:val="left"/>
      <w:pPr>
        <w:ind w:left="6480" w:hanging="360"/>
      </w:pPr>
      <w:rPr>
        <w:rFonts w:ascii="Wingdings" w:hAnsi="Wingdings" w:hint="default"/>
      </w:rPr>
    </w:lvl>
  </w:abstractNum>
  <w:abstractNum w:abstractNumId="2" w15:restartNumberingAfterBreak="0">
    <w:nsid w:val="39471DAF"/>
    <w:multiLevelType w:val="hybridMultilevel"/>
    <w:tmpl w:val="E4460858"/>
    <w:lvl w:ilvl="0" w:tplc="C040CF4E">
      <w:start w:val="1"/>
      <w:numFmt w:val="bullet"/>
      <w:lvlText w:val=""/>
      <w:lvlJc w:val="left"/>
      <w:pPr>
        <w:tabs>
          <w:tab w:val="num" w:pos="720"/>
        </w:tabs>
        <w:ind w:left="720" w:hanging="360"/>
      </w:pPr>
      <w:rPr>
        <w:rFonts w:ascii="Symbol" w:hAnsi="Symbol" w:hint="default"/>
      </w:rPr>
    </w:lvl>
    <w:lvl w:ilvl="1" w:tplc="93FEDD94" w:tentative="1">
      <w:start w:val="1"/>
      <w:numFmt w:val="bullet"/>
      <w:lvlText w:val="o"/>
      <w:lvlJc w:val="left"/>
      <w:pPr>
        <w:ind w:left="1440" w:hanging="360"/>
      </w:pPr>
      <w:rPr>
        <w:rFonts w:ascii="Courier New" w:hAnsi="Courier New" w:cs="Courier New" w:hint="default"/>
      </w:rPr>
    </w:lvl>
    <w:lvl w:ilvl="2" w:tplc="26D65748" w:tentative="1">
      <w:start w:val="1"/>
      <w:numFmt w:val="bullet"/>
      <w:lvlText w:val=""/>
      <w:lvlJc w:val="left"/>
      <w:pPr>
        <w:ind w:left="2160" w:hanging="360"/>
      </w:pPr>
      <w:rPr>
        <w:rFonts w:ascii="Wingdings" w:hAnsi="Wingdings" w:hint="default"/>
      </w:rPr>
    </w:lvl>
    <w:lvl w:ilvl="3" w:tplc="BA1C459C" w:tentative="1">
      <w:start w:val="1"/>
      <w:numFmt w:val="bullet"/>
      <w:lvlText w:val=""/>
      <w:lvlJc w:val="left"/>
      <w:pPr>
        <w:ind w:left="2880" w:hanging="360"/>
      </w:pPr>
      <w:rPr>
        <w:rFonts w:ascii="Symbol" w:hAnsi="Symbol" w:hint="default"/>
      </w:rPr>
    </w:lvl>
    <w:lvl w:ilvl="4" w:tplc="D4D8117A" w:tentative="1">
      <w:start w:val="1"/>
      <w:numFmt w:val="bullet"/>
      <w:lvlText w:val="o"/>
      <w:lvlJc w:val="left"/>
      <w:pPr>
        <w:ind w:left="3600" w:hanging="360"/>
      </w:pPr>
      <w:rPr>
        <w:rFonts w:ascii="Courier New" w:hAnsi="Courier New" w:cs="Courier New" w:hint="default"/>
      </w:rPr>
    </w:lvl>
    <w:lvl w:ilvl="5" w:tplc="F834A95E" w:tentative="1">
      <w:start w:val="1"/>
      <w:numFmt w:val="bullet"/>
      <w:lvlText w:val=""/>
      <w:lvlJc w:val="left"/>
      <w:pPr>
        <w:ind w:left="4320" w:hanging="360"/>
      </w:pPr>
      <w:rPr>
        <w:rFonts w:ascii="Wingdings" w:hAnsi="Wingdings" w:hint="default"/>
      </w:rPr>
    </w:lvl>
    <w:lvl w:ilvl="6" w:tplc="1D443F92" w:tentative="1">
      <w:start w:val="1"/>
      <w:numFmt w:val="bullet"/>
      <w:lvlText w:val=""/>
      <w:lvlJc w:val="left"/>
      <w:pPr>
        <w:ind w:left="5040" w:hanging="360"/>
      </w:pPr>
      <w:rPr>
        <w:rFonts w:ascii="Symbol" w:hAnsi="Symbol" w:hint="default"/>
      </w:rPr>
    </w:lvl>
    <w:lvl w:ilvl="7" w:tplc="4392B502" w:tentative="1">
      <w:start w:val="1"/>
      <w:numFmt w:val="bullet"/>
      <w:lvlText w:val="o"/>
      <w:lvlJc w:val="left"/>
      <w:pPr>
        <w:ind w:left="5760" w:hanging="360"/>
      </w:pPr>
      <w:rPr>
        <w:rFonts w:ascii="Courier New" w:hAnsi="Courier New" w:cs="Courier New" w:hint="default"/>
      </w:rPr>
    </w:lvl>
    <w:lvl w:ilvl="8" w:tplc="8800D3DA" w:tentative="1">
      <w:start w:val="1"/>
      <w:numFmt w:val="bullet"/>
      <w:lvlText w:val=""/>
      <w:lvlJc w:val="left"/>
      <w:pPr>
        <w:ind w:left="6480" w:hanging="360"/>
      </w:pPr>
      <w:rPr>
        <w:rFonts w:ascii="Wingdings" w:hAnsi="Wingdings" w:hint="default"/>
      </w:rPr>
    </w:lvl>
  </w:abstractNum>
  <w:abstractNum w:abstractNumId="3" w15:restartNumberingAfterBreak="0">
    <w:nsid w:val="680556B4"/>
    <w:multiLevelType w:val="hybridMultilevel"/>
    <w:tmpl w:val="1E2CCB36"/>
    <w:lvl w:ilvl="0" w:tplc="07EE8220">
      <w:start w:val="1"/>
      <w:numFmt w:val="bullet"/>
      <w:lvlText w:val=""/>
      <w:lvlJc w:val="left"/>
      <w:pPr>
        <w:tabs>
          <w:tab w:val="num" w:pos="720"/>
        </w:tabs>
        <w:ind w:left="720" w:hanging="360"/>
      </w:pPr>
      <w:rPr>
        <w:rFonts w:ascii="Symbol" w:hAnsi="Symbol" w:hint="default"/>
      </w:rPr>
    </w:lvl>
    <w:lvl w:ilvl="1" w:tplc="A8E0413E">
      <w:start w:val="1"/>
      <w:numFmt w:val="bullet"/>
      <w:lvlText w:val="o"/>
      <w:lvlJc w:val="left"/>
      <w:pPr>
        <w:ind w:left="1440" w:hanging="360"/>
      </w:pPr>
      <w:rPr>
        <w:rFonts w:ascii="Courier New" w:hAnsi="Courier New" w:cs="Courier New" w:hint="default"/>
      </w:rPr>
    </w:lvl>
    <w:lvl w:ilvl="2" w:tplc="5AD8967E" w:tentative="1">
      <w:start w:val="1"/>
      <w:numFmt w:val="bullet"/>
      <w:lvlText w:val=""/>
      <w:lvlJc w:val="left"/>
      <w:pPr>
        <w:ind w:left="2160" w:hanging="360"/>
      </w:pPr>
      <w:rPr>
        <w:rFonts w:ascii="Wingdings" w:hAnsi="Wingdings" w:hint="default"/>
      </w:rPr>
    </w:lvl>
    <w:lvl w:ilvl="3" w:tplc="F8E0755A" w:tentative="1">
      <w:start w:val="1"/>
      <w:numFmt w:val="bullet"/>
      <w:lvlText w:val=""/>
      <w:lvlJc w:val="left"/>
      <w:pPr>
        <w:ind w:left="2880" w:hanging="360"/>
      </w:pPr>
      <w:rPr>
        <w:rFonts w:ascii="Symbol" w:hAnsi="Symbol" w:hint="default"/>
      </w:rPr>
    </w:lvl>
    <w:lvl w:ilvl="4" w:tplc="5E46F93E" w:tentative="1">
      <w:start w:val="1"/>
      <w:numFmt w:val="bullet"/>
      <w:lvlText w:val="o"/>
      <w:lvlJc w:val="left"/>
      <w:pPr>
        <w:ind w:left="3600" w:hanging="360"/>
      </w:pPr>
      <w:rPr>
        <w:rFonts w:ascii="Courier New" w:hAnsi="Courier New" w:cs="Courier New" w:hint="default"/>
      </w:rPr>
    </w:lvl>
    <w:lvl w:ilvl="5" w:tplc="6204A1E6" w:tentative="1">
      <w:start w:val="1"/>
      <w:numFmt w:val="bullet"/>
      <w:lvlText w:val=""/>
      <w:lvlJc w:val="left"/>
      <w:pPr>
        <w:ind w:left="4320" w:hanging="360"/>
      </w:pPr>
      <w:rPr>
        <w:rFonts w:ascii="Wingdings" w:hAnsi="Wingdings" w:hint="default"/>
      </w:rPr>
    </w:lvl>
    <w:lvl w:ilvl="6" w:tplc="9506A436" w:tentative="1">
      <w:start w:val="1"/>
      <w:numFmt w:val="bullet"/>
      <w:lvlText w:val=""/>
      <w:lvlJc w:val="left"/>
      <w:pPr>
        <w:ind w:left="5040" w:hanging="360"/>
      </w:pPr>
      <w:rPr>
        <w:rFonts w:ascii="Symbol" w:hAnsi="Symbol" w:hint="default"/>
      </w:rPr>
    </w:lvl>
    <w:lvl w:ilvl="7" w:tplc="547ED8AE" w:tentative="1">
      <w:start w:val="1"/>
      <w:numFmt w:val="bullet"/>
      <w:lvlText w:val="o"/>
      <w:lvlJc w:val="left"/>
      <w:pPr>
        <w:ind w:left="5760" w:hanging="360"/>
      </w:pPr>
      <w:rPr>
        <w:rFonts w:ascii="Courier New" w:hAnsi="Courier New" w:cs="Courier New" w:hint="default"/>
      </w:rPr>
    </w:lvl>
    <w:lvl w:ilvl="8" w:tplc="0FC69C1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E5"/>
    <w:rsid w:val="001D6438"/>
    <w:rsid w:val="0037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271172-7DCE-4135-BC01-D6AA7BC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72075"/>
    <w:rPr>
      <w:sz w:val="16"/>
      <w:szCs w:val="16"/>
    </w:rPr>
  </w:style>
  <w:style w:type="paragraph" w:styleId="CommentText">
    <w:name w:val="annotation text"/>
    <w:basedOn w:val="Normal"/>
    <w:link w:val="CommentTextChar"/>
    <w:semiHidden/>
    <w:unhideWhenUsed/>
    <w:rsid w:val="00272075"/>
    <w:rPr>
      <w:sz w:val="20"/>
      <w:szCs w:val="20"/>
    </w:rPr>
  </w:style>
  <w:style w:type="character" w:customStyle="1" w:styleId="CommentTextChar">
    <w:name w:val="Comment Text Char"/>
    <w:basedOn w:val="DefaultParagraphFont"/>
    <w:link w:val="CommentText"/>
    <w:semiHidden/>
    <w:rsid w:val="00272075"/>
  </w:style>
  <w:style w:type="paragraph" w:styleId="CommentSubject">
    <w:name w:val="annotation subject"/>
    <w:basedOn w:val="CommentText"/>
    <w:next w:val="CommentText"/>
    <w:link w:val="CommentSubjectChar"/>
    <w:semiHidden/>
    <w:unhideWhenUsed/>
    <w:rsid w:val="00272075"/>
    <w:rPr>
      <w:b/>
      <w:bCs/>
    </w:rPr>
  </w:style>
  <w:style w:type="character" w:customStyle="1" w:styleId="CommentSubjectChar">
    <w:name w:val="Comment Subject Char"/>
    <w:basedOn w:val="CommentTextChar"/>
    <w:link w:val="CommentSubject"/>
    <w:semiHidden/>
    <w:rsid w:val="00272075"/>
    <w:rPr>
      <w:b/>
      <w:bCs/>
    </w:rPr>
  </w:style>
  <w:style w:type="paragraph" w:styleId="Revision">
    <w:name w:val="Revision"/>
    <w:hidden/>
    <w:uiPriority w:val="99"/>
    <w:semiHidden/>
    <w:rsid w:val="00272075"/>
    <w:rPr>
      <w:sz w:val="24"/>
      <w:szCs w:val="24"/>
    </w:rPr>
  </w:style>
  <w:style w:type="paragraph" w:styleId="ListParagraph">
    <w:name w:val="List Paragraph"/>
    <w:basedOn w:val="Normal"/>
    <w:uiPriority w:val="34"/>
    <w:qFormat/>
    <w:rsid w:val="00C9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6718</Characters>
  <Application>Microsoft Office Word</Application>
  <DocSecurity>4</DocSecurity>
  <Lines>136</Lines>
  <Paragraphs>40</Paragraphs>
  <ScaleCrop>false</ScaleCrop>
  <HeadingPairs>
    <vt:vector size="2" baseType="variant">
      <vt:variant>
        <vt:lpstr>Title</vt:lpstr>
      </vt:variant>
      <vt:variant>
        <vt:i4>1</vt:i4>
      </vt:variant>
    </vt:vector>
  </HeadingPairs>
  <TitlesOfParts>
    <vt:vector size="1" baseType="lpstr">
      <vt:lpstr>BA - SB02551 (Committee Report (Substituted))</vt:lpstr>
    </vt:vector>
  </TitlesOfParts>
  <Company>State of Texas</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34126</dc:subject>
  <dc:creator>State of Texas</dc:creator>
  <dc:description>SB 2551 by Hinojosa-(H)State Affairs (Substitute Document Number: 86R 32763)</dc:description>
  <cp:lastModifiedBy>Scotty Wimberley</cp:lastModifiedBy>
  <cp:revision>2</cp:revision>
  <cp:lastPrinted>2003-11-26T17:21:00Z</cp:lastPrinted>
  <dcterms:created xsi:type="dcterms:W3CDTF">2019-05-15T23:51:00Z</dcterms:created>
  <dcterms:modified xsi:type="dcterms:W3CDTF">2019-05-15T23:51:00Z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19.135.1219</vt:lpwstr>
  </property>
</Properties>
</file>