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debris management and other disaster recovery efforts.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CATASTROPHIC DEBRIS MANAGEMENT PLAN AND TRAINING.  (a) </w:t>
      </w:r>
      <w:r>
        <w:rPr>
          <w:u w:val="single"/>
        </w:rPr>
        <w:t xml:space="preserve"> </w:t>
      </w:r>
      <w:r>
        <w:rPr>
          <w:u w:val="single"/>
        </w:rPr>
        <w:t xml:space="preserve">The division, in consultation with the Texas A&amp;M AgriLife Extension Service,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vegetative debris burning, including the role of the Texas Department of Transportation in debris removal;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coordination of clearance and disposal of debris;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obtaining equipment necessary for use immediately following a disaster;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interaction between political subdivisions and state and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A&amp;M Engineering Extension Service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CONTRACTING FOR DEBRIS REMOVAL.  (a) </w:t>
      </w:r>
      <w:r>
        <w:rPr>
          <w:u w:val="single"/>
        </w:rPr>
        <w:t xml:space="preserve"> </w:t>
      </w:r>
      <w:r>
        <w:rPr>
          <w:u w:val="single"/>
        </w:rPr>
        <w:t xml:space="preserve">The division, in consultation with the Federal Emergency Management Agency, shall develop and publish a model contract for debris removal services to be used by political subdivisions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appropriate contracting standards and contractor requirements to include in the model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local, state, and federal governmental entities who are appointed by the lieutenant governor and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removal of wet debris, including best practices for clearing wet debris following a disaster and determining responsibility for that removal.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WORK GROUP ON LOCAL RESTRICTIONS THAT IMPEDE DISASTER RECOVERY EFFORTS. </w:t>
      </w:r>
      <w:r>
        <w:rPr>
          <w:u w:val="single"/>
        </w:rPr>
        <w:t xml:space="preserve"> </w:t>
      </w:r>
      <w:r>
        <w:rPr>
          <w:u w:val="single"/>
        </w:rPr>
        <w:t xml:space="preserve">(a)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 group is established and</w:t>
      </w:r>
      <w:r>
        <w:rPr>
          <w:u w:val="single"/>
        </w:rPr>
        <w:t xml:space="preserve"> </w:t>
      </w:r>
      <w:r>
        <w:rPr>
          <w:u w:val="single"/>
        </w:rPr>
        <w:t xml:space="preserve">composed of representatives of local, state, and federal governmental entities and private entities who are appointed by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conduct a study on local restrictions that impede disaster recovery efforts, including efforts to remove debris and erect short-term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conducted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overview of official actions by governing bodies of political subdivisions and requirements imposed by deed restrictions or property owners' associations that impede state and federal disaster recovery efforts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minimizing the effect of the official actions and requirements described by Subdivision (1) on state and federal disaster recovery efforts in this state, including recommendations relating to gubernatorial authority to suspend certain local requirements after a disaster for a limited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a written report to the members of the legislature with the results of the study required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and the work group is abolished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